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0"/>
      </w:pPr>
      <w:r>
        <w:rPr>
          <w:rFonts w:ascii="Arial" w:cs="Arial" w:eastAsia="Arial" w:hAnsi="Arial"/>
          <w:b/>
          <w:bCs/>
          <w:color w:val="1A1A2E"/>
          <w:sz w:val="44"/>
          <w:szCs w:val="44"/>
        </w:rPr>
        <w:t xml:space="preserve">STATE OF AI</w:t>
      </w:r>
    </w:p>
    <w:p>
      <w:pPr>
        <w:spacing w:after="80"/>
      </w:pPr>
      <w:r>
        <w:rPr>
          <w:rFonts w:ascii="Arial" w:cs="Arial" w:eastAsia="Arial" w:hAnsi="Arial"/>
          <w:color w:val="6B7280"/>
          <w:sz w:val="28"/>
          <w:szCs w:val="28"/>
        </w:rPr>
        <w:t xml:space="preserve">Executive Briefing Note</w:t>
      </w:r>
    </w:p>
    <w:p>
      <w:pPr>
        <w:pBdr>
          <w:bottom w:val="single" w:color="C41230" w:sz="8" w:space="1"/>
        </w:pBdr>
        <w:spacing w:after="200"/>
      </w:pPr>
      <w:r>
        <w:rPr>
          <w:rFonts w:ascii="Arial" w:cs="Arial" w:eastAsia="Arial" w:hAnsi="Arial"/>
          <w:color w:val="9CA3AF"/>
          <w:sz w:val="20"/>
          <w:szCs w:val="20"/>
        </w:rPr>
        <w:t xml:space="preserve">March 17, 2026  |  Prepared by Bill Syrros, National AI Leader</w:t>
      </w:r>
    </w:p>
    <w:p>
      <w:pPr>
        <w:pStyle w:val="Heading1"/>
      </w:pPr>
      <w:r>
        <w:t xml:space="preserve">Executive Summary</w:t>
      </w:r>
    </w:p>
    <w:p>
      <w:pPr>
        <w:spacing w:after="160"/>
      </w:pPr>
      <w:r>
        <w:rPr>
          <w:rFonts w:ascii="Arial" w:cs="Arial" w:eastAsia="Arial" w:hAnsi="Arial"/>
          <w:sz w:val="22"/>
          <w:szCs w:val="22"/>
        </w:rPr>
        <w:t xml:space="preserve">The AI landscape is shifting from experimentation to execution. Three developments define this moment: agentic AI systems are now completing real financial transactions in regulated environments, the Big Four have collectively spent over $10 billion on AI since 2023 without fundamentally changing their delivery models, and the convergence of AI with biotechnology and robotics is creating what futurist Amy Webb calls a technology supercycle that will reshape every industry over the next decade.</w:t>
      </w:r>
    </w:p>
    <w:p>
      <w:pPr>
        <w:spacing w:after="200"/>
      </w:pPr>
      <w:r>
        <w:rPr>
          <w:rFonts w:ascii="Arial" w:cs="Arial" w:eastAsia="Arial" w:hAnsi="Arial"/>
          <w:sz w:val="22"/>
          <w:szCs w:val="22"/>
        </w:rPr>
        <w:t xml:space="preserve">For BDO, the window to establish leadership in AI-enabled advisory services is narrowing. The firms that move from pilot programs to productized AI offerings in 2026 will define the next era of professional services.</w:t>
      </w:r>
    </w:p>
    <w:p>
      <w:pPr>
        <w:pStyle w:val="Heading1"/>
      </w:pPr>
      <w:r>
        <w:t xml:space="preserve">Featured: Amy Webb at SXSW 2026</w:t>
      </w:r>
    </w:p>
    <w:p>
      <w:pPr>
        <w:spacing w:after="120"/>
      </w:pPr>
      <w:r>
        <w:rPr>
          <w:rFonts w:ascii="Arial" w:cs="Arial" w:eastAsia="Arial" w:hAnsi="Arial"/>
          <w:sz w:val="22"/>
          <w:szCs w:val="22"/>
        </w:rPr>
        <w:t xml:space="preserve">Amy Webb, CEO of the Future Today Strategy Group and professor at NYU Stern, opened her annual SXSW session on March 13 with a dramatic gesture: a mock funeral for the traditional tech trend report. Her argument is that annual snapshots can no longer keep pace with the rate of change. In its place, she introduced a </w:t>
      </w:r>
      <w:r>
        <w:rPr>
          <w:rFonts w:ascii="Arial" w:cs="Arial" w:eastAsia="Arial" w:hAnsi="Arial"/>
          <w:b/>
          <w:bCs/>
          <w:i/>
          <w:iCs/>
          <w:sz w:val="22"/>
          <w:szCs w:val="22"/>
        </w:rPr>
        <w:t xml:space="preserve">Convergence Outlook</w:t>
      </w:r>
      <w:r>
        <w:rPr>
          <w:rFonts w:ascii="Arial" w:cs="Arial" w:eastAsia="Arial" w:hAnsi="Arial"/>
          <w:sz w:val="22"/>
          <w:szCs w:val="22"/>
        </w:rPr>
        <w:t xml:space="preserve"> — a framework that maps where technology, economics, and society are heading to collide.</w:t>
      </w:r>
    </w:p>
    <w:p>
      <w:pPr>
        <w:pStyle w:val="Heading2"/>
      </w:pPr>
      <w:r>
        <w:t xml:space="preserve">Three Convergences That Matter</w:t>
      </w:r>
    </w:p>
    <w:p>
      <w:pPr>
        <w:spacing w:after="60"/>
      </w:pPr>
      <w:r>
        <w:rPr>
          <w:rFonts w:ascii="Arial" w:cs="Arial" w:eastAsia="Arial" w:hAnsi="Arial"/>
          <w:b/>
          <w:bCs/>
          <w:color w:val="1A1A2E"/>
          <w:sz w:val="22"/>
          <w:szCs w:val="22"/>
        </w:rPr>
        <w:t xml:space="preserve">1. Human Augmentation</w:t>
      </w:r>
      <w:r>
        <w:rPr>
          <w:rFonts w:ascii="Arial" w:cs="Arial" w:eastAsia="Arial" w:hAnsi="Arial"/>
          <w:sz w:val="22"/>
          <w:szCs w:val="22"/>
        </w:rPr>
        <w:t xml:space="preserve"> — The convergence of biotechnology, sensors, AI, and brain-machine interfaces is expanding human physical and cognitive capacities beyond natural limits. Webb warns that when enhancement becomes a hiring requirement, biological inequality becomes irreversible. </w:t>
      </w:r>
      <w:r>
        <w:rPr>
          <w:rFonts w:ascii="Arial" w:cs="Arial" w:eastAsia="Arial" w:hAnsi="Arial"/>
          <w:i/>
          <w:iCs/>
          <w:color w:val="C41230"/>
          <w:sz w:val="22"/>
          <w:szCs w:val="22"/>
        </w:rPr>
        <w:t xml:space="preserve">BDO implication: Workforce advisory, ethics frameworks, and HR policy consulting will need to address augmentation standards.</w:t>
      </w:r>
    </w:p>
    <w:p>
      <w:pPr>
        <w:spacing w:after="60"/>
      </w:pPr>
      <w:r>
        <w:rPr>
          <w:rFonts w:ascii="Arial" w:cs="Arial" w:eastAsia="Arial" w:hAnsi="Arial"/>
          <w:b/>
          <w:bCs/>
          <w:color w:val="1A1A2E"/>
          <w:sz w:val="22"/>
          <w:szCs w:val="22"/>
        </w:rPr>
        <w:t xml:space="preserve">2. Unlimited Labor</w:t>
      </w:r>
      <w:r>
        <w:rPr>
          <w:rFonts w:ascii="Arial" w:cs="Arial" w:eastAsia="Arial" w:hAnsi="Arial"/>
          <w:sz w:val="22"/>
          <w:szCs w:val="22"/>
        </w:rPr>
        <w:t xml:space="preserve"> — Lights-out factories and agentic AI are decoupling GDP from human welfare. Scale without population. Output without wages. Webb frames this as the most disruptive economic shift since industrialization. </w:t>
      </w:r>
      <w:r>
        <w:rPr>
          <w:rFonts w:ascii="Arial" w:cs="Arial" w:eastAsia="Arial" w:hAnsi="Arial"/>
          <w:i/>
          <w:iCs/>
          <w:color w:val="C41230"/>
          <w:sz w:val="22"/>
          <w:szCs w:val="22"/>
        </w:rPr>
        <w:t xml:space="preserve">BDO implication: Tax, transfer pricing, and audit models built on human headcount metrics will need fundamental rethinking.</w:t>
      </w:r>
    </w:p>
    <w:p>
      <w:pPr>
        <w:spacing w:after="120"/>
      </w:pPr>
      <w:r>
        <w:rPr>
          <w:rFonts w:ascii="Arial" w:cs="Arial" w:eastAsia="Arial" w:hAnsi="Arial"/>
          <w:b/>
          <w:bCs/>
          <w:color w:val="1A1A2E"/>
          <w:sz w:val="22"/>
          <w:szCs w:val="22"/>
        </w:rPr>
        <w:t xml:space="preserve">3. Emotional Outsourcing</w:t>
      </w:r>
      <w:r>
        <w:rPr>
          <w:rFonts w:ascii="Arial" w:cs="Arial" w:eastAsia="Arial" w:hAnsi="Arial"/>
          <w:sz w:val="22"/>
          <w:szCs w:val="22"/>
        </w:rPr>
        <w:t xml:space="preserve"> — Loneliness is now a market. We are outsourcing friendship, therapy, romance, and even religion to AI systems. Webb argues the infrastructure of how people feel is being quietly privatized. </w:t>
      </w:r>
      <w:r>
        <w:rPr>
          <w:rFonts w:ascii="Arial" w:cs="Arial" w:eastAsia="Arial" w:hAnsi="Arial"/>
          <w:i/>
          <w:iCs/>
          <w:color w:val="C41230"/>
          <w:sz w:val="22"/>
          <w:szCs w:val="22"/>
        </w:rPr>
        <w:t xml:space="preserve">BDO implication: Digital wellness governance and responsible AI advisory will become a client expectation, not a differentiator.</w:t>
      </w:r>
    </w:p>
    <w:p>
      <w:pPr>
        <w:spacing w:after="200"/>
      </w:pPr>
      <w:r>
        <w:rPr>
          <w:rFonts w:ascii="Arial" w:cs="Arial" w:eastAsia="Arial" w:hAnsi="Arial"/>
          <w:color w:val="6B7280"/>
          <w:sz w:val="20"/>
          <w:szCs w:val="20"/>
        </w:rPr>
        <w:t xml:space="preserve">Watch the full session: </w:t>
      </w:r>
      <w:hyperlink w:history="1" r:id="rIdqli6u6vdterypqrkwx4v8">
        <w:r>
          <w:rPr>
            <w:rStyle w:val="Hyperlink"/>
            <w:rFonts w:ascii="Arial" w:cs="Arial" w:eastAsia="Arial" w:hAnsi="Arial"/>
            <w:sz w:val="20"/>
            <w:szCs w:val="20"/>
          </w:rPr>
          <w:t xml:space="preserve">SXSW 2026 — Amy Webb Launches 2026 Emerging Tech Trend Report</w:t>
        </w:r>
      </w:hyperlink>
    </w:p>
    <w:p>
      <w:pPr>
        <w:pStyle w:val="Heading1"/>
      </w:pPr>
      <w:r>
        <w:t xml:space="preserve">AI Signals — Week of March 16, 2026</w:t>
      </w:r>
    </w:p>
    <w:p>
      <w:pPr>
        <w:spacing w:after="160"/>
      </w:pPr>
      <w:r>
        <w:rPr>
          <w:rFonts w:ascii="Arial" w:cs="Arial" w:eastAsia="Arial" w:hAnsi="Arial"/>
          <w:color w:val="4B5563"/>
          <w:sz w:val="22"/>
          <w:szCs w:val="22"/>
        </w:rPr>
        <w:t xml:space="preserve">The following signals were curated from this week’s developments. Each includes a brief assessment of relevance to BDO’s advisory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5360"/>
        <w:gridCol w:w="2800"/>
      </w:tblGrid>
      <w:tr>
        <w:tc>
          <w:tcPr>
            <w:tcW w:type="dxa" w:w="1200"/>
            <w:tcBorders>
              <w:top w:val="single" w:color="E5E7EB" w:sz="1"/>
              <w:left w:val="single" w:color="E5E7EB" w:sz="1"/>
              <w:bottom w:val="single" w:color="E5E7EB" w:sz="1"/>
              <w:right w:val="single" w:color="E5E7EB" w:sz="1"/>
            </w:tcBorders>
            <w:shd w:fill="1A1A2E" w:val="clear"/>
            <w:tcMar>
              <w:top w:type="dxa" w:w="100"/>
              <w:left w:type="dxa" w:w="140"/>
              <w:bottom w:type="dxa" w:w="100"/>
              <w:right w:type="dxa" w:w="140"/>
            </w:tcMar>
          </w:tcPr>
          <w:p>
            <w:pPr>
              <w:jc w:val="center"/>
            </w:pPr>
            <w:r>
              <w:rPr>
                <w:rFonts w:ascii="Arial" w:cs="Arial" w:eastAsia="Arial" w:hAnsi="Arial"/>
                <w:b/>
                <w:bCs/>
                <w:color w:val="FFFFFF"/>
                <w:sz w:val="16"/>
                <w:szCs w:val="16"/>
              </w:rPr>
              <w:t xml:space="preserve">CATEGORY</w:t>
            </w:r>
          </w:p>
        </w:tc>
        <w:tc>
          <w:tcPr>
            <w:tcW w:type="dxa" w:w="5360"/>
            <w:tcBorders>
              <w:top w:val="single" w:color="E5E7EB" w:sz="1"/>
              <w:left w:val="single" w:color="E5E7EB" w:sz="1"/>
              <w:bottom w:val="single" w:color="E5E7EB" w:sz="1"/>
              <w:right w:val="single" w:color="E5E7EB" w:sz="1"/>
            </w:tcBorders>
            <w:shd w:fill="1A1A2E" w:val="clear"/>
            <w:tcMar>
              <w:top w:type="dxa" w:w="100"/>
              <w:left w:type="dxa" w:w="140"/>
              <w:bottom w:type="dxa" w:w="100"/>
              <w:right w:type="dxa" w:w="140"/>
            </w:tcMar>
          </w:tcPr>
          <w:p>
            <w:r>
              <w:rPr>
                <w:rFonts w:ascii="Arial" w:cs="Arial" w:eastAsia="Arial" w:hAnsi="Arial"/>
                <w:b/>
                <w:bCs/>
                <w:color w:val="FFFFFF"/>
                <w:sz w:val="16"/>
                <w:szCs w:val="16"/>
              </w:rPr>
              <w:t xml:space="preserve">SIGNAL &amp; BDO RELEVANCE</w:t>
            </w:r>
          </w:p>
        </w:tc>
        <w:tc>
          <w:tcPr>
            <w:tcW w:type="dxa" w:w="2800"/>
            <w:tcBorders>
              <w:top w:val="single" w:color="E5E7EB" w:sz="1"/>
              <w:left w:val="single" w:color="E5E7EB" w:sz="1"/>
              <w:bottom w:val="single" w:color="E5E7EB" w:sz="1"/>
              <w:right w:val="single" w:color="E5E7EB" w:sz="1"/>
            </w:tcBorders>
            <w:shd w:fill="1A1A2E" w:val="clear"/>
            <w:tcMar>
              <w:top w:type="dxa" w:w="100"/>
              <w:left w:type="dxa" w:w="140"/>
              <w:bottom w:type="dxa" w:w="100"/>
              <w:right w:type="dxa" w:w="140"/>
            </w:tcMar>
          </w:tcPr>
          <w:p>
            <w:r>
              <w:rPr>
                <w:rFonts w:ascii="Arial" w:cs="Arial" w:eastAsia="Arial" w:hAnsi="Arial"/>
                <w:b/>
                <w:bCs/>
                <w:color w:val="FFFFFF"/>
                <w:sz w:val="16"/>
                <w:szCs w:val="16"/>
              </w:rPr>
              <w:t xml:space="preserve">SOURCE</w:t>
            </w:r>
          </w:p>
        </w:tc>
      </w:tr>
      <w:tr>
        <w:tc>
          <w:tcPr>
            <w:tcW w:type="dxa" w:w="1200"/>
            <w:tcBorders>
              <w:top w:val="single" w:color="E5E7EB" w:sz="1"/>
              <w:left w:val="single" w:color="E5E7EB" w:sz="1"/>
              <w:bottom w:val="single" w:color="E5E7EB" w:sz="1"/>
              <w:right w:val="single" w:color="E5E7EB" w:sz="1"/>
            </w:tcBorders>
            <w:shd w:fill="EEF2FF" w:val="clear"/>
            <w:tcMar>
              <w:top w:type="dxa" w:w="100"/>
              <w:left w:type="dxa" w:w="140"/>
              <w:bottom w:type="dxa" w:w="100"/>
              <w:right w:type="dxa" w:w="140"/>
            </w:tcMar>
          </w:tcPr>
          <w:p>
            <w:pPr>
              <w:jc w:val="center"/>
            </w:pPr>
            <w:r>
              <w:rPr>
                <w:rFonts w:ascii="Arial" w:cs="Arial" w:eastAsia="Arial" w:hAnsi="Arial"/>
                <w:b/>
                <w:bCs/>
                <w:color w:val="4338CA"/>
                <w:sz w:val="16"/>
                <w:szCs w:val="16"/>
              </w:rPr>
              <w:t xml:space="preserve">EXPONENTIAL</w:t>
            </w:r>
          </w:p>
        </w:tc>
        <w:tc>
          <w:tcPr>
            <w:tcW w:type="dxa" w:w="5360"/>
            <w:tcBorders>
              <w:top w:val="single" w:color="E5E7EB" w:sz="1"/>
              <w:left w:val="single" w:color="E5E7EB" w:sz="1"/>
              <w:bottom w:val="single" w:color="E5E7EB" w:sz="1"/>
              <w:right w:val="single" w:color="E5E7EB" w:sz="1"/>
            </w:tcBorders>
            <w:tcMar>
              <w:top w:type="dxa" w:w="100"/>
              <w:left w:type="dxa" w:w="140"/>
              <w:bottom w:type="dxa" w:w="100"/>
              <w:right w:type="dxa" w:w="140"/>
            </w:tcMar>
          </w:tcPr>
          <w:p>
            <w:pPr>
              <w:spacing w:after="40"/>
            </w:pPr>
            <w:r>
              <w:rPr>
                <w:rFonts w:ascii="Arial" w:cs="Arial" w:eastAsia="Arial" w:hAnsi="Arial"/>
                <w:b/>
                <w:bCs/>
                <w:color w:val="1A1A2E"/>
                <w:sz w:val="20"/>
                <w:szCs w:val="20"/>
              </w:rPr>
              <w:t xml:space="preserve">NVIDIA GTC 2026 — Vera Rubin platform replaces Blackwell; NemoClaw agent framework launched</w:t>
            </w:r>
          </w:p>
          <w:p>
            <w:r>
              <w:rPr>
                <w:rFonts w:ascii="Arial" w:cs="Arial" w:eastAsia="Arial" w:hAnsi="Arial"/>
                <w:color w:val="4B5563"/>
                <w:sz w:val="18"/>
                <w:szCs w:val="18"/>
              </w:rPr>
              <w:t xml:space="preserve">Jensen’s keynote sets the AI infrastructure roadmap for 2027. Open-source enterprise agent tooling from NVIDIA changes the build-vs-buy equation for every client.</w:t>
            </w:r>
          </w:p>
        </w:tc>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rFonts w:ascii="Arial" w:cs="Arial" w:eastAsia="Arial" w:hAnsi="Arial"/>
                <w:i/>
                <w:iCs/>
                <w:color w:val="6B7280"/>
                <w:sz w:val="16"/>
                <w:szCs w:val="16"/>
              </w:rPr>
              <w:t xml:space="preserve">NVIDIA / TechCrunch</w:t>
            </w:r>
          </w:p>
        </w:tc>
      </w:tr>
      <w:tr>
        <w:tc>
          <w:tcPr>
            <w:tcW w:type="dxa" w:w="1200"/>
            <w:tcBorders>
              <w:top w:val="single" w:color="E5E7EB" w:sz="1"/>
              <w:left w:val="single" w:color="E5E7EB" w:sz="1"/>
              <w:bottom w:val="single" w:color="E5E7EB" w:sz="1"/>
              <w:right w:val="single" w:color="E5E7EB" w:sz="1"/>
            </w:tcBorders>
            <w:shd w:fill="FFF7ED" w:val="clear"/>
            <w:tcMar>
              <w:top w:type="dxa" w:w="100"/>
              <w:left w:type="dxa" w:w="140"/>
              <w:bottom w:type="dxa" w:w="100"/>
              <w:right w:type="dxa" w:w="140"/>
            </w:tcMar>
          </w:tcPr>
          <w:p>
            <w:pPr>
              <w:jc w:val="center"/>
            </w:pPr>
            <w:r>
              <w:rPr>
                <w:rFonts w:ascii="Arial" w:cs="Arial" w:eastAsia="Arial" w:hAnsi="Arial"/>
                <w:b/>
                <w:bCs/>
                <w:color w:val="C2410C"/>
                <w:sz w:val="16"/>
                <w:szCs w:val="16"/>
              </w:rPr>
              <w:t xml:space="preserve">CONSULTING</w:t>
            </w:r>
          </w:p>
        </w:tc>
        <w:tc>
          <w:tcPr>
            <w:tcW w:type="dxa" w:w="5360"/>
            <w:tcBorders>
              <w:top w:val="single" w:color="E5E7EB" w:sz="1"/>
              <w:left w:val="single" w:color="E5E7EB" w:sz="1"/>
              <w:bottom w:val="single" w:color="E5E7EB" w:sz="1"/>
              <w:right w:val="single" w:color="E5E7EB" w:sz="1"/>
            </w:tcBorders>
            <w:tcMar>
              <w:top w:type="dxa" w:w="100"/>
              <w:left w:type="dxa" w:w="140"/>
              <w:bottom w:type="dxa" w:w="100"/>
              <w:right w:type="dxa" w:w="140"/>
            </w:tcMar>
          </w:tcPr>
          <w:p>
            <w:pPr>
              <w:spacing w:after="40"/>
            </w:pPr>
            <w:r>
              <w:rPr>
                <w:rFonts w:ascii="Arial" w:cs="Arial" w:eastAsia="Arial" w:hAnsi="Arial"/>
                <w:b/>
                <w:bCs/>
                <w:color w:val="1A1A2E"/>
                <w:sz w:val="20"/>
                <w:szCs w:val="20"/>
              </w:rPr>
              <w:t xml:space="preserve">Anthropic launches Claude Partner Network — $100M commitment, certification program</w:t>
            </w:r>
          </w:p>
          <w:p>
            <w:r>
              <w:rPr>
                <w:rFonts w:ascii="Arial" w:cs="Arial" w:eastAsia="Arial" w:hAnsi="Arial"/>
                <w:color w:val="4B5563"/>
                <w:sz w:val="18"/>
                <w:szCs w:val="18"/>
              </w:rPr>
              <w:t xml:space="preserve">Direct signal for BDO: Claude Certified Architect credentials and go-to-market support. First-mover advantage for firms that certify early.</w:t>
            </w:r>
          </w:p>
        </w:tc>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rFonts w:ascii="Arial" w:cs="Arial" w:eastAsia="Arial" w:hAnsi="Arial"/>
                <w:i/>
                <w:iCs/>
                <w:color w:val="6B7280"/>
                <w:sz w:val="16"/>
                <w:szCs w:val="16"/>
              </w:rPr>
              <w:t xml:space="preserve">Anthropic / The Next Web</w:t>
            </w:r>
          </w:p>
        </w:tc>
      </w:tr>
      <w:tr>
        <w:tc>
          <w:tcPr>
            <w:tcW w:type="dxa" w:w="1200"/>
            <w:tcBorders>
              <w:top w:val="single" w:color="E5E7EB" w:sz="1"/>
              <w:left w:val="single" w:color="E5E7EB" w:sz="1"/>
              <w:bottom w:val="single" w:color="E5E7EB" w:sz="1"/>
              <w:right w:val="single" w:color="E5E7EB" w:sz="1"/>
            </w:tcBorders>
            <w:shd w:fill="F0FDF4" w:val="clear"/>
            <w:tcMar>
              <w:top w:type="dxa" w:w="100"/>
              <w:left w:type="dxa" w:w="140"/>
              <w:bottom w:type="dxa" w:w="100"/>
              <w:right w:type="dxa" w:w="140"/>
            </w:tcMar>
          </w:tcPr>
          <w:p>
            <w:pPr>
              <w:jc w:val="center"/>
            </w:pPr>
            <w:r>
              <w:rPr>
                <w:rFonts w:ascii="Arial" w:cs="Arial" w:eastAsia="Arial" w:hAnsi="Arial"/>
                <w:b/>
                <w:bCs/>
                <w:color w:val="166534"/>
                <w:sz w:val="16"/>
                <w:szCs w:val="16"/>
              </w:rPr>
              <w:t xml:space="preserve">AGENTIC</w:t>
            </w:r>
          </w:p>
        </w:tc>
        <w:tc>
          <w:tcPr>
            <w:tcW w:type="dxa" w:w="5360"/>
            <w:tcBorders>
              <w:top w:val="single" w:color="E5E7EB" w:sz="1"/>
              <w:left w:val="single" w:color="E5E7EB" w:sz="1"/>
              <w:bottom w:val="single" w:color="E5E7EB" w:sz="1"/>
              <w:right w:val="single" w:color="E5E7EB" w:sz="1"/>
            </w:tcBorders>
            <w:tcMar>
              <w:top w:type="dxa" w:w="100"/>
              <w:left w:type="dxa" w:w="140"/>
              <w:bottom w:type="dxa" w:w="100"/>
              <w:right w:type="dxa" w:w="140"/>
            </w:tcMar>
          </w:tcPr>
          <w:p>
            <w:pPr>
              <w:spacing w:after="40"/>
            </w:pPr>
            <w:r>
              <w:rPr>
                <w:rFonts w:ascii="Arial" w:cs="Arial" w:eastAsia="Arial" w:hAnsi="Arial"/>
                <w:b/>
                <w:bCs/>
                <w:color w:val="1A1A2E"/>
                <w:sz w:val="20"/>
                <w:szCs w:val="20"/>
              </w:rPr>
              <w:t xml:space="preserve">Santander + Mastercard complete Europe’s first live AI agent payment in a regulated bank</w:t>
            </w:r>
          </w:p>
          <w:p>
            <w:r>
              <w:rPr>
                <w:rFonts w:ascii="Arial" w:cs="Arial" w:eastAsia="Arial" w:hAnsi="Arial"/>
                <w:color w:val="4B5563"/>
                <w:sz w:val="18"/>
                <w:szCs w:val="18"/>
              </w:rPr>
              <w:t xml:space="preserve">AI agents now execute real financial transactions within preset limits. Autonomous commerce is no longer theoretical — audit and controls frameworks needed now.</w:t>
            </w:r>
          </w:p>
        </w:tc>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rFonts w:ascii="Arial" w:cs="Arial" w:eastAsia="Arial" w:hAnsi="Arial"/>
                <w:i/>
                <w:iCs/>
                <w:color w:val="6B7280"/>
                <w:sz w:val="16"/>
                <w:szCs w:val="16"/>
              </w:rPr>
              <w:t xml:space="preserve">Mastercard / AI Business</w:t>
            </w:r>
          </w:p>
        </w:tc>
      </w:tr>
      <w:tr>
        <w:tc>
          <w:tcPr>
            <w:tcW w:type="dxa" w:w="1200"/>
            <w:tcBorders>
              <w:top w:val="single" w:color="E5E7EB" w:sz="1"/>
              <w:left w:val="single" w:color="E5E7EB" w:sz="1"/>
              <w:bottom w:val="single" w:color="E5E7EB" w:sz="1"/>
              <w:right w:val="single" w:color="E5E7EB" w:sz="1"/>
            </w:tcBorders>
            <w:shd w:fill="FFF7ED" w:val="clear"/>
            <w:tcMar>
              <w:top w:type="dxa" w:w="100"/>
              <w:left w:type="dxa" w:w="140"/>
              <w:bottom w:type="dxa" w:w="100"/>
              <w:right w:type="dxa" w:w="140"/>
            </w:tcMar>
          </w:tcPr>
          <w:p>
            <w:pPr>
              <w:jc w:val="center"/>
            </w:pPr>
            <w:r>
              <w:rPr>
                <w:rFonts w:ascii="Arial" w:cs="Arial" w:eastAsia="Arial" w:hAnsi="Arial"/>
                <w:b/>
                <w:bCs/>
                <w:color w:val="C2410C"/>
                <w:sz w:val="16"/>
                <w:szCs w:val="16"/>
              </w:rPr>
              <w:t xml:space="preserve">CONSULTING</w:t>
            </w:r>
          </w:p>
        </w:tc>
        <w:tc>
          <w:tcPr>
            <w:tcW w:type="dxa" w:w="5360"/>
            <w:tcBorders>
              <w:top w:val="single" w:color="E5E7EB" w:sz="1"/>
              <w:left w:val="single" w:color="E5E7EB" w:sz="1"/>
              <w:bottom w:val="single" w:color="E5E7EB" w:sz="1"/>
              <w:right w:val="single" w:color="E5E7EB" w:sz="1"/>
            </w:tcBorders>
            <w:tcMar>
              <w:top w:type="dxa" w:w="100"/>
              <w:left w:type="dxa" w:w="140"/>
              <w:bottom w:type="dxa" w:w="100"/>
              <w:right w:type="dxa" w:w="140"/>
            </w:tcMar>
          </w:tcPr>
          <w:p>
            <w:pPr>
              <w:spacing w:after="40"/>
            </w:pPr>
            <w:r>
              <w:rPr>
                <w:rFonts w:ascii="Arial" w:cs="Arial" w:eastAsia="Arial" w:hAnsi="Arial"/>
                <w:b/>
                <w:bCs/>
                <w:color w:val="1A1A2E"/>
                <w:sz w:val="20"/>
                <w:szCs w:val="20"/>
              </w:rPr>
              <w:t xml:space="preserve">Big Four spent $10B+ on AI since 2023 — but the leveraged pyramid persists</w:t>
            </w:r>
          </w:p>
          <w:p>
            <w:r>
              <w:rPr>
                <w:rFonts w:ascii="Arial" w:cs="Arial" w:eastAsia="Arial" w:hAnsi="Arial"/>
                <w:color w:val="4B5563"/>
                <w:sz w:val="18"/>
                <w:szCs w:val="18"/>
              </w:rPr>
              <w:t xml:space="preserve">Internal AI tools haven’t changed staffing or billing models yet. The firms that crack value-based pricing first win — BDO’s agility is an advantage here.</w:t>
            </w:r>
          </w:p>
        </w:tc>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rFonts w:ascii="Arial" w:cs="Arial" w:eastAsia="Arial" w:hAnsi="Arial"/>
                <w:i/>
                <w:iCs/>
                <w:color w:val="6B7280"/>
                <w:sz w:val="16"/>
                <w:szCs w:val="16"/>
              </w:rPr>
              <w:t xml:space="preserve">Future of Consulting</w:t>
            </w:r>
          </w:p>
        </w:tc>
      </w:tr>
      <w:tr>
        <w:tc>
          <w:tcPr>
            <w:tcW w:type="dxa" w:w="1200"/>
            <w:tcBorders>
              <w:top w:val="single" w:color="E5E7EB" w:sz="1"/>
              <w:left w:val="single" w:color="E5E7EB" w:sz="1"/>
              <w:bottom w:val="single" w:color="E5E7EB" w:sz="1"/>
              <w:right w:val="single" w:color="E5E7EB" w:sz="1"/>
            </w:tcBorders>
            <w:shd w:fill="F0FDF4" w:val="clear"/>
            <w:tcMar>
              <w:top w:type="dxa" w:w="100"/>
              <w:left w:type="dxa" w:w="140"/>
              <w:bottom w:type="dxa" w:w="100"/>
              <w:right w:type="dxa" w:w="140"/>
            </w:tcMar>
          </w:tcPr>
          <w:p>
            <w:pPr>
              <w:jc w:val="center"/>
            </w:pPr>
            <w:r>
              <w:rPr>
                <w:rFonts w:ascii="Arial" w:cs="Arial" w:eastAsia="Arial" w:hAnsi="Arial"/>
                <w:b/>
                <w:bCs/>
                <w:color w:val="166534"/>
                <w:sz w:val="16"/>
                <w:szCs w:val="16"/>
              </w:rPr>
              <w:t xml:space="preserve">AGENTIC</w:t>
            </w:r>
          </w:p>
        </w:tc>
        <w:tc>
          <w:tcPr>
            <w:tcW w:type="dxa" w:w="5360"/>
            <w:tcBorders>
              <w:top w:val="single" w:color="E5E7EB" w:sz="1"/>
              <w:left w:val="single" w:color="E5E7EB" w:sz="1"/>
              <w:bottom w:val="single" w:color="E5E7EB" w:sz="1"/>
              <w:right w:val="single" w:color="E5E7EB" w:sz="1"/>
            </w:tcBorders>
            <w:tcMar>
              <w:top w:type="dxa" w:w="100"/>
              <w:left w:type="dxa" w:w="140"/>
              <w:bottom w:type="dxa" w:w="100"/>
              <w:right w:type="dxa" w:w="140"/>
            </w:tcMar>
          </w:tcPr>
          <w:p>
            <w:pPr>
              <w:spacing w:after="40"/>
            </w:pPr>
            <w:r>
              <w:rPr>
                <w:rFonts w:ascii="Arial" w:cs="Arial" w:eastAsia="Arial" w:hAnsi="Arial"/>
                <w:b/>
                <w:bCs/>
                <w:color w:val="1A1A2E"/>
                <w:sz w:val="20"/>
                <w:szCs w:val="20"/>
              </w:rPr>
              <w:t xml:space="preserve">Fujitsu AI platform cuts software modification from 3 months to 4 hours — 100x faster</w:t>
            </w:r>
          </w:p>
          <w:p>
            <w:r>
              <w:rPr>
                <w:rFonts w:ascii="Arial" w:cs="Arial" w:eastAsia="Arial" w:hAnsi="Arial"/>
                <w:color w:val="4B5563"/>
                <w:sz w:val="18"/>
                <w:szCs w:val="18"/>
              </w:rPr>
              <w:t xml:space="preserve">When dev cycles compress 100x, the bottleneck shifts from building to deciding what to build. Advisory and architecture become the high-value layer.</w:t>
            </w:r>
          </w:p>
        </w:tc>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rFonts w:ascii="Arial" w:cs="Arial" w:eastAsia="Arial" w:hAnsi="Arial"/>
                <w:i/>
                <w:iCs/>
                <w:color w:val="6B7280"/>
                <w:sz w:val="16"/>
                <w:szCs w:val="16"/>
              </w:rPr>
              <w:t xml:space="preserve">Fujitsu / Analytics Insight</w:t>
            </w:r>
          </w:p>
        </w:tc>
      </w:tr>
      <w:tr>
        <w:tc>
          <w:tcPr>
            <w:tcW w:type="dxa" w:w="1200"/>
            <w:tcBorders>
              <w:top w:val="single" w:color="E5E7EB" w:sz="1"/>
              <w:left w:val="single" w:color="E5E7EB" w:sz="1"/>
              <w:bottom w:val="single" w:color="E5E7EB" w:sz="1"/>
              <w:right w:val="single" w:color="E5E7EB" w:sz="1"/>
            </w:tcBorders>
            <w:shd w:fill="FEF2F2" w:val="clear"/>
            <w:tcMar>
              <w:top w:type="dxa" w:w="100"/>
              <w:left w:type="dxa" w:w="140"/>
              <w:bottom w:type="dxa" w:w="100"/>
              <w:right w:type="dxa" w:w="140"/>
            </w:tcMar>
          </w:tcPr>
          <w:p>
            <w:pPr>
              <w:jc w:val="center"/>
            </w:pPr>
            <w:r>
              <w:rPr>
                <w:rFonts w:ascii="Arial" w:cs="Arial" w:eastAsia="Arial" w:hAnsi="Arial"/>
                <w:b/>
                <w:bCs/>
                <w:color w:val="991B1B"/>
                <w:sz w:val="16"/>
                <w:szCs w:val="16"/>
              </w:rPr>
              <w:t xml:space="preserve">REGULATION</w:t>
            </w:r>
          </w:p>
        </w:tc>
        <w:tc>
          <w:tcPr>
            <w:tcW w:type="dxa" w:w="5360"/>
            <w:tcBorders>
              <w:top w:val="single" w:color="E5E7EB" w:sz="1"/>
              <w:left w:val="single" w:color="E5E7EB" w:sz="1"/>
              <w:bottom w:val="single" w:color="E5E7EB" w:sz="1"/>
              <w:right w:val="single" w:color="E5E7EB" w:sz="1"/>
            </w:tcBorders>
            <w:tcMar>
              <w:top w:type="dxa" w:w="100"/>
              <w:left w:type="dxa" w:w="140"/>
              <w:bottom w:type="dxa" w:w="100"/>
              <w:right w:type="dxa" w:w="140"/>
            </w:tcMar>
          </w:tcPr>
          <w:p>
            <w:pPr>
              <w:spacing w:after="40"/>
            </w:pPr>
            <w:r>
              <w:rPr>
                <w:rFonts w:ascii="Arial" w:cs="Arial" w:eastAsia="Arial" w:hAnsi="Arial"/>
                <w:b/>
                <w:bCs/>
                <w:color w:val="1A1A2E"/>
                <w:sz w:val="20"/>
                <w:szCs w:val="20"/>
              </w:rPr>
              <w:t xml:space="preserve">Canada AI Strategy Task Force consulting on next national AI strategy — still no binding law</w:t>
            </w:r>
          </w:p>
          <w:p>
            <w:r>
              <w:rPr>
                <w:rFonts w:ascii="Arial" w:cs="Arial" w:eastAsia="Arial" w:hAnsi="Arial"/>
                <w:color w:val="4B5563"/>
                <w:sz w:val="18"/>
                <w:szCs w:val="18"/>
              </w:rPr>
              <w:t xml:space="preserve">Ontario’s AI principles are the only framework. Federal regulation will proceed separately from privacy. The advisory window for clients to get ahead of compliance is still open.</w:t>
            </w:r>
          </w:p>
        </w:tc>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rFonts w:ascii="Arial" w:cs="Arial" w:eastAsia="Arial" w:hAnsi="Arial"/>
                <w:i/>
                <w:iCs/>
                <w:color w:val="6B7280"/>
                <w:sz w:val="16"/>
                <w:szCs w:val="16"/>
              </w:rPr>
              <w:t xml:space="preserve">ISED Canada</w:t>
            </w:r>
          </w:p>
        </w:tc>
      </w:tr>
      <w:tr>
        <w:tc>
          <w:tcPr>
            <w:tcW w:type="dxa" w:w="1200"/>
            <w:tcBorders>
              <w:top w:val="single" w:color="E5E7EB" w:sz="1"/>
              <w:left w:val="single" w:color="E5E7EB" w:sz="1"/>
              <w:bottom w:val="single" w:color="E5E7EB" w:sz="1"/>
              <w:right w:val="single" w:color="E5E7EB" w:sz="1"/>
            </w:tcBorders>
            <w:shd w:fill="EFF6FF" w:val="clear"/>
            <w:tcMar>
              <w:top w:type="dxa" w:w="100"/>
              <w:left w:type="dxa" w:w="140"/>
              <w:bottom w:type="dxa" w:w="100"/>
              <w:right w:type="dxa" w:w="140"/>
            </w:tcMar>
          </w:tcPr>
          <w:p>
            <w:pPr>
              <w:jc w:val="center"/>
            </w:pPr>
            <w:r>
              <w:rPr>
                <w:rFonts w:ascii="Arial" w:cs="Arial" w:eastAsia="Arial" w:hAnsi="Arial"/>
                <w:b/>
                <w:bCs/>
                <w:color w:val="1D4ED8"/>
                <w:sz w:val="16"/>
                <w:szCs w:val="16"/>
              </w:rPr>
              <w:t xml:space="preserve">AI</w:t>
            </w:r>
          </w:p>
        </w:tc>
        <w:tc>
          <w:tcPr>
            <w:tcW w:type="dxa" w:w="5360"/>
            <w:tcBorders>
              <w:top w:val="single" w:color="E5E7EB" w:sz="1"/>
              <w:left w:val="single" w:color="E5E7EB" w:sz="1"/>
              <w:bottom w:val="single" w:color="E5E7EB" w:sz="1"/>
              <w:right w:val="single" w:color="E5E7EB" w:sz="1"/>
            </w:tcBorders>
            <w:tcMar>
              <w:top w:type="dxa" w:w="100"/>
              <w:left w:type="dxa" w:w="140"/>
              <w:bottom w:type="dxa" w:w="100"/>
              <w:right w:type="dxa" w:w="140"/>
            </w:tcMar>
          </w:tcPr>
          <w:p>
            <w:pPr>
              <w:spacing w:after="40"/>
            </w:pPr>
            <w:r>
              <w:rPr>
                <w:rFonts w:ascii="Arial" w:cs="Arial" w:eastAsia="Arial" w:hAnsi="Arial"/>
                <w:b/>
                <w:bCs/>
                <w:color w:val="1A1A2E"/>
                <w:sz w:val="20"/>
                <w:szCs w:val="20"/>
              </w:rPr>
              <w:t xml:space="preserve">Anthropic catches 24,000 fraudulent accounts from Chinese AI labs misusing Claude</w:t>
            </w:r>
          </w:p>
          <w:p>
            <w:r>
              <w:rPr>
                <w:rFonts w:ascii="Arial" w:cs="Arial" w:eastAsia="Arial" w:hAnsi="Arial"/>
                <w:color w:val="4B5563"/>
                <w:sz w:val="18"/>
                <w:szCs w:val="18"/>
              </w:rPr>
              <w:t xml:space="preserve">Scale of misuse underscores why responsible AI governance matters. Enterprise clients need guardrails and audit trails — BDO opportunity.</w:t>
            </w:r>
          </w:p>
        </w:tc>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rFonts w:ascii="Arial" w:cs="Arial" w:eastAsia="Arial" w:hAnsi="Arial"/>
                <w:i/>
                <w:iCs/>
                <w:color w:val="6B7280"/>
                <w:sz w:val="16"/>
                <w:szCs w:val="16"/>
              </w:rPr>
              <w:t xml:space="preserve">Anthropic / Time</w:t>
            </w:r>
          </w:p>
        </w:tc>
      </w:tr>
      <w:tr>
        <w:tc>
          <w:tcPr>
            <w:tcW w:type="dxa" w:w="1200"/>
            <w:tcBorders>
              <w:top w:val="single" w:color="E5E7EB" w:sz="1"/>
              <w:left w:val="single" w:color="E5E7EB" w:sz="1"/>
              <w:bottom w:val="single" w:color="E5E7EB" w:sz="1"/>
              <w:right w:val="single" w:color="E5E7EB" w:sz="1"/>
            </w:tcBorders>
            <w:shd w:fill="EEF2FF" w:val="clear"/>
            <w:tcMar>
              <w:top w:type="dxa" w:w="100"/>
              <w:left w:type="dxa" w:w="140"/>
              <w:bottom w:type="dxa" w:w="100"/>
              <w:right w:type="dxa" w:w="140"/>
            </w:tcMar>
          </w:tcPr>
          <w:p>
            <w:pPr>
              <w:jc w:val="center"/>
            </w:pPr>
            <w:r>
              <w:rPr>
                <w:rFonts w:ascii="Arial" w:cs="Arial" w:eastAsia="Arial" w:hAnsi="Arial"/>
                <w:b/>
                <w:bCs/>
                <w:color w:val="4338CA"/>
                <w:sz w:val="16"/>
                <w:szCs w:val="16"/>
              </w:rPr>
              <w:t xml:space="preserve">EXPONENTIAL</w:t>
            </w:r>
          </w:p>
        </w:tc>
        <w:tc>
          <w:tcPr>
            <w:tcW w:type="dxa" w:w="5360"/>
            <w:tcBorders>
              <w:top w:val="single" w:color="E5E7EB" w:sz="1"/>
              <w:left w:val="single" w:color="E5E7EB" w:sz="1"/>
              <w:bottom w:val="single" w:color="E5E7EB" w:sz="1"/>
              <w:right w:val="single" w:color="E5E7EB" w:sz="1"/>
            </w:tcBorders>
            <w:tcMar>
              <w:top w:type="dxa" w:w="100"/>
              <w:left w:type="dxa" w:w="140"/>
              <w:bottom w:type="dxa" w:w="100"/>
              <w:right w:type="dxa" w:w="140"/>
            </w:tcMar>
          </w:tcPr>
          <w:p>
            <w:pPr>
              <w:spacing w:after="40"/>
            </w:pPr>
            <w:r>
              <w:rPr>
                <w:rFonts w:ascii="Arial" w:cs="Arial" w:eastAsia="Arial" w:hAnsi="Arial"/>
                <w:b/>
                <w:bCs/>
                <w:color w:val="1A1A2E"/>
                <w:sz w:val="20"/>
                <w:szCs w:val="20"/>
              </w:rPr>
              <w:t xml:space="preserve">Agentic AI market projected $9.1B to $139B by 2034 (40.5% CAGR) — 64% of orgs now deploying</w:t>
            </w:r>
          </w:p>
          <w:p>
            <w:r>
              <w:rPr>
                <w:rFonts w:ascii="Arial" w:cs="Arial" w:eastAsia="Arial" w:hAnsi="Arial"/>
                <w:color w:val="4B5563"/>
                <w:sz w:val="18"/>
                <w:szCs w:val="18"/>
              </w:rPr>
              <w:t xml:space="preserve">The shift from pilot to production is accelerating. Two-thirds still haven’t scaled — that’s the consulting sweet spot.</w:t>
            </w:r>
          </w:p>
        </w:tc>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rFonts w:ascii="Arial" w:cs="Arial" w:eastAsia="Arial" w:hAnsi="Arial"/>
                <w:i/>
                <w:iCs/>
                <w:color w:val="6B7280"/>
                <w:sz w:val="16"/>
                <w:szCs w:val="16"/>
              </w:rPr>
              <w:t xml:space="preserve">NVIDIA / Boston Institute</w:t>
            </w:r>
          </w:p>
        </w:tc>
      </w:tr>
    </w:tbl>
    <w:p>
      <w:r>
        <w:br w:type="page"/>
      </w:r>
    </w:p>
    <w:p>
      <w:pPr>
        <w:pStyle w:val="Heading1"/>
      </w:pPr>
      <w:r>
        <w:t xml:space="preserve">Key Themes for BDO Leadership</w:t>
      </w:r>
    </w:p>
    <w:p>
      <w:pPr>
        <w:spacing w:after="100"/>
      </w:pPr>
      <w:r>
        <w:rPr>
          <w:rFonts w:ascii="Arial" w:cs="Arial" w:eastAsia="Arial" w:hAnsi="Arial"/>
          <w:b/>
          <w:bCs/>
          <w:color w:val="1A1A2E"/>
          <w:sz w:val="24"/>
          <w:szCs w:val="24"/>
        </w:rPr>
        <w:t xml:space="preserve">From Pilot to Production</w:t>
      </w:r>
    </w:p>
    <w:p>
      <w:pPr>
        <w:spacing w:after="160"/>
      </w:pPr>
      <w:r>
        <w:rPr>
          <w:rFonts w:ascii="Arial" w:cs="Arial" w:eastAsia="Arial" w:hAnsi="Arial"/>
          <w:sz w:val="22"/>
          <w:szCs w:val="22"/>
        </w:rPr>
        <w:t xml:space="preserve">64% of organizations are now deploying agentic AI, yet most haven’t scaled beyond proof-of-concept. The consulting opportunity is not in building AI — it’s in helping clients operationalize it: governance frameworks, change management, integration architecture, and measuring ROI. BDO’s mid-market focus means our clients need this guidance more than the Fortune 500 who have dedicated AI teams.</w:t>
      </w:r>
    </w:p>
    <w:p>
      <w:pPr>
        <w:spacing w:after="100"/>
      </w:pPr>
      <w:r>
        <w:rPr>
          <w:rFonts w:ascii="Arial" w:cs="Arial" w:eastAsia="Arial" w:hAnsi="Arial"/>
          <w:b/>
          <w:bCs/>
          <w:color w:val="1A1A2E"/>
          <w:sz w:val="24"/>
          <w:szCs w:val="24"/>
        </w:rPr>
        <w:t xml:space="preserve">The Certification Window</w:t>
      </w:r>
    </w:p>
    <w:p>
      <w:pPr>
        <w:spacing w:after="160"/>
      </w:pPr>
      <w:r>
        <w:rPr>
          <w:rFonts w:ascii="Arial" w:cs="Arial" w:eastAsia="Arial" w:hAnsi="Arial"/>
          <w:sz w:val="22"/>
          <w:szCs w:val="22"/>
        </w:rPr>
        <w:t xml:space="preserve">Anthropic’s $100M Claude Partner Network creates a new credentialing landscape. Firms that certify architects early will have a tangible market advantage — similar to what Salesforce and AWS certifications did for technology consulting a decade ago. Recommendation: fast-track a cohort of practitioners through the certification program in Q2.</w:t>
      </w:r>
    </w:p>
    <w:p>
      <w:pPr>
        <w:spacing w:after="100"/>
      </w:pPr>
      <w:r>
        <w:rPr>
          <w:rFonts w:ascii="Arial" w:cs="Arial" w:eastAsia="Arial" w:hAnsi="Arial"/>
          <w:b/>
          <w:bCs/>
          <w:color w:val="1A1A2E"/>
          <w:sz w:val="24"/>
          <w:szCs w:val="24"/>
        </w:rPr>
        <w:t xml:space="preserve">Autonomous Commerce Is Here</w:t>
      </w:r>
    </w:p>
    <w:p>
      <w:pPr>
        <w:spacing w:after="160"/>
      </w:pPr>
      <w:r>
        <w:rPr>
          <w:rFonts w:ascii="Arial" w:cs="Arial" w:eastAsia="Arial" w:hAnsi="Arial"/>
          <w:sz w:val="22"/>
          <w:szCs w:val="22"/>
        </w:rPr>
        <w:t xml:space="preserve">The Santander/Mastercard milestone is a signal, not an anomaly. AI agents executing financial transactions in regulated environments means every audit, assurance, and advisory engagement will need to account for autonomous decision-making. Internal controls, segregation of duties, and fraud detection frameworks all need updating. This is a near-term revenue opportunity for our assurance and risk advisory practices.</w:t>
      </w:r>
    </w:p>
    <w:p>
      <w:pPr>
        <w:spacing w:after="100"/>
      </w:pPr>
      <w:r>
        <w:rPr>
          <w:rFonts w:ascii="Arial" w:cs="Arial" w:eastAsia="Arial" w:hAnsi="Arial"/>
          <w:b/>
          <w:bCs/>
          <w:color w:val="1A1A2E"/>
          <w:sz w:val="24"/>
          <w:szCs w:val="24"/>
        </w:rPr>
        <w:t xml:space="preserve">The Regulatory Gap Is Still Open</w:t>
      </w:r>
    </w:p>
    <w:p>
      <w:pPr>
        <w:spacing w:after="200"/>
      </w:pPr>
      <w:r>
        <w:rPr>
          <w:rFonts w:ascii="Arial" w:cs="Arial" w:eastAsia="Arial" w:hAnsi="Arial"/>
          <w:sz w:val="22"/>
          <w:szCs w:val="22"/>
        </w:rPr>
        <w:t xml:space="preserve">Canada’s AI Strategy Task Force is still in consultation mode with no binding legislation on the horizon. Ontario’s voluntary AI principles remain the only provincial framework. For our clients, this means the advisory window to establish responsible AI practices ahead of regulation is still wide open — but narrowing. Firms that help clients build governance now will be the trusted advisors when regulation arrives.</w:t>
      </w:r>
    </w:p>
    <w:p>
      <w:pPr>
        <w:pStyle w:val="Heading1"/>
      </w:pPr>
      <w:r>
        <w:t xml:space="preserve">Recommended Actions</w:t>
      </w:r>
    </w:p>
    <w:p>
      <w:pPr>
        <w:pStyle w:val="ListParagraph"/>
        <w:numPr>
          <w:ilvl w:val="0"/>
          <w:numId w:val="2"/>
        </w:numPr>
        <w:spacing w:after="100"/>
      </w:pPr>
      <w:r>
        <w:rPr>
          <w:rFonts w:ascii="Arial" w:cs="Arial" w:eastAsia="Arial" w:hAnsi="Arial"/>
          <w:b/>
          <w:bCs/>
          <w:sz w:val="22"/>
          <w:szCs w:val="22"/>
        </w:rPr>
        <w:t xml:space="preserve">Anthropic Claude Certification: </w:t>
      </w:r>
      <w:r>
        <w:rPr>
          <w:rFonts w:ascii="Arial" w:cs="Arial" w:eastAsia="Arial" w:hAnsi="Arial"/>
          <w:sz w:val="22"/>
          <w:szCs w:val="22"/>
        </w:rPr>
        <w:t xml:space="preserve">Identify 10-15 practitioners for the Claude Partner Network certification program. Target Q2 enrollment to establish first-mover positioning.</w:t>
      </w:r>
    </w:p>
    <w:p>
      <w:pPr>
        <w:pStyle w:val="ListParagraph"/>
        <w:numPr>
          <w:ilvl w:val="0"/>
          <w:numId w:val="2"/>
        </w:numPr>
        <w:spacing w:after="100"/>
      </w:pPr>
      <w:r>
        <w:rPr>
          <w:rFonts w:ascii="Arial" w:cs="Arial" w:eastAsia="Arial" w:hAnsi="Arial"/>
          <w:b/>
          <w:bCs/>
          <w:sz w:val="22"/>
          <w:szCs w:val="22"/>
        </w:rPr>
        <w:t xml:space="preserve">Agentic AI Controls Framework: </w:t>
      </w:r>
      <w:r>
        <w:rPr>
          <w:rFonts w:ascii="Arial" w:cs="Arial" w:eastAsia="Arial" w:hAnsi="Arial"/>
          <w:sz w:val="22"/>
          <w:szCs w:val="22"/>
        </w:rPr>
        <w:t xml:space="preserve">Develop a BDO-branded assessment framework for autonomous AI systems in financial services. The Santander precedent makes this immediately relevant to banking clients.</w:t>
      </w:r>
    </w:p>
    <w:p>
      <w:pPr>
        <w:pStyle w:val="ListParagraph"/>
        <w:numPr>
          <w:ilvl w:val="0"/>
          <w:numId w:val="2"/>
        </w:numPr>
        <w:spacing w:after="100"/>
      </w:pPr>
      <w:r>
        <w:rPr>
          <w:rFonts w:ascii="Arial" w:cs="Arial" w:eastAsia="Arial" w:hAnsi="Arial"/>
          <w:b/>
          <w:bCs/>
          <w:sz w:val="22"/>
          <w:szCs w:val="22"/>
        </w:rPr>
        <w:t xml:space="preserve">AI Governance Advisory Package: </w:t>
      </w:r>
      <w:r>
        <w:rPr>
          <w:rFonts w:ascii="Arial" w:cs="Arial" w:eastAsia="Arial" w:hAnsi="Arial"/>
          <w:sz w:val="22"/>
          <w:szCs w:val="22"/>
        </w:rPr>
        <w:t xml:space="preserve">Productize a responsible AI governance offering that addresses the Canadian regulatory gap. Position BDO as the firm that helps mid-market companies build governance before it’s mandated.</w:t>
      </w:r>
    </w:p>
    <w:p>
      <w:pPr>
        <w:pStyle w:val="ListParagraph"/>
        <w:numPr>
          <w:ilvl w:val="0"/>
          <w:numId w:val="2"/>
        </w:numPr>
        <w:spacing w:after="100"/>
      </w:pPr>
      <w:r>
        <w:rPr>
          <w:rFonts w:ascii="Arial" w:cs="Arial" w:eastAsia="Arial" w:hAnsi="Arial"/>
          <w:b/>
          <w:bCs/>
          <w:sz w:val="22"/>
          <w:szCs w:val="22"/>
        </w:rPr>
        <w:t xml:space="preserve">Internal AI Acceleration: </w:t>
      </w:r>
      <w:r>
        <w:rPr>
          <w:rFonts w:ascii="Arial" w:cs="Arial" w:eastAsia="Arial" w:hAnsi="Arial"/>
          <w:sz w:val="22"/>
          <w:szCs w:val="22"/>
        </w:rPr>
        <w:t xml:space="preserve">The Big Four’s $10B+ spend hasn’t changed their delivery model. BDO’s advantage is agility. Prioritize 2-3 internal AI use cases that demonstrate measurable efficiency gains by Q3 — these become client-facing case studies.</w:t>
      </w:r>
    </w:p>
    <w:p>
      <w:pPr>
        <w:spacing w:before="400"/>
      </w:pPr>
    </w:p>
    <w:p>
      <w:pPr>
        <w:pBdr>
          <w:top w:val="single" w:color="E5E7EB" w:sz="2" w:space="1"/>
        </w:pBdr>
        <w:spacing w:before="200"/>
      </w:pPr>
      <w:r>
        <w:rPr>
          <w:rFonts w:ascii="Arial" w:cs="Arial" w:eastAsia="Arial" w:hAnsi="Arial"/>
          <w:color w:val="9CA3AF"/>
          <w:sz w:val="18"/>
          <w:szCs w:val="18"/>
        </w:rPr>
        <w:t xml:space="preserve">Prepared by Bill Syrros, National AI Leader, BDO Canada</w:t>
      </w:r>
    </w:p>
    <w:p>
      <w:r>
        <w:rPr>
          <w:rFonts w:ascii="Arial" w:cs="Arial" w:eastAsia="Arial" w:hAnsi="Arial"/>
          <w:color w:val="9CA3AF"/>
          <w:sz w:val="18"/>
          <w:szCs w:val="18"/>
        </w:rPr>
        <w:t xml:space="preserve">Sources: NVIDIA, Anthropic, Mastercard, Future of Consulting, Fujitsu, ISED Canada, Amy Webb / SXSW 2026</w:t>
      </w:r>
    </w:p>
    <w:sectPr>
      <w:headerReference w:type="default" r:id="rId6"/>
      <w:footerReference w:type="default" r:id="rId7"/>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space="1"/>
      </w:pBdr>
      <w:jc w:val="center"/>
    </w:pPr>
    <w:r>
      <w:rPr>
        <w:rFonts w:ascii="Arial" w:cs="Arial" w:eastAsia="Arial" w:hAnsi="Arial"/>
        <w:color w:val="9CA3AF"/>
        <w:sz w:val="16"/>
        <w:szCs w:val="16"/>
      </w:rPr>
      <w:t xml:space="preserve">Confidential  —  For ELT Distribution Only  —  Page </w:t>
    </w:r>
    <w:r>
      <w:rPr>
        <w:rFonts w:ascii="Arial" w:cs="Arial" w:eastAsia="Arial" w:hAnsi="Arial"/>
        <w:color w:val="9CA3A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1230" w:sz="6" w:space="1"/>
      </w:pBdr>
      <w:spacing w:after="0"/>
    </w:pPr>
    <w:r>
      <w:rPr>
        <w:rFonts w:ascii="Arial" w:cs="Arial" w:eastAsia="Arial" w:hAnsi="Arial"/>
        <w:b/>
        <w:bCs/>
        <w:color w:val="C41230"/>
        <w:sz w:val="18"/>
        <w:szCs w:val="18"/>
      </w:rPr>
      <w:t xml:space="preserve">BDO Canada  |  </w:t>
    </w:r>
    <w:r>
      <w:rPr>
        <w:rFonts w:ascii="Arial" w:cs="Arial" w:eastAsia="Arial" w:hAnsi="Arial"/>
        <w:color w:val="6B7280"/>
        <w:sz w:val="18"/>
        <w:szCs w:val="18"/>
      </w:rPr>
      <w:t xml:space="preserve">AI Practice  |  Executive Briefing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C4123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qli6u6vdterypqrkwx4v8" Type="http://schemas.openxmlformats.org/officeDocument/2006/relationships/hyperlink" Target="https://schedule.sxsw.com/events/PP1148484"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2026-03-17T12:55:49.553Z</dcterms:created>
  <dcterms:modified xsi:type="dcterms:W3CDTF">2026-03-17T12:55:49.554Z</dcterms:modified>
</cp:coreProperties>
</file>

<file path=docProps/custom.xml><?xml version="1.0" encoding="utf-8"?>
<Properties xmlns="http://schemas.openxmlformats.org/officeDocument/2006/custom-properties" xmlns:vt="http://schemas.openxmlformats.org/officeDocument/2006/docPropsVTypes"/>
</file>