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color w:val="C41230"/>
          <w:sz w:val="48"/>
          <w:szCs w:val="48"/>
        </w:rPr>
        <w:t xml:space="preserve">STATE OF AI</w:t>
      </w:r>
    </w:p>
    <w:p>
      <w:pPr>
        <w:spacing w:after="120"/>
      </w:pPr>
      <w:r>
        <w:rPr>
          <w:rFonts w:ascii="Arial" w:cs="Arial" w:eastAsia="Arial" w:hAnsi="Arial"/>
          <w:color w:val="1A1A2E"/>
          <w:sz w:val="32"/>
          <w:szCs w:val="32"/>
        </w:rPr>
        <w:t xml:space="preserve">Executive Briefing Note</w:t>
      </w:r>
    </w:p>
    <w:p>
      <w:pPr>
        <w:spacing w:after="40"/>
      </w:pPr>
      <w:r>
        <w:rPr>
          <w:rFonts w:ascii="Arial" w:cs="Arial" w:eastAsia="Arial" w:hAnsi="Arial"/>
          <w:color w:val="666666"/>
          <w:sz w:val="22"/>
          <w:szCs w:val="22"/>
        </w:rPr>
        <w:t xml:space="preserve">April 2026</w:t>
      </w:r>
    </w:p>
    <w:p>
      <w:pPr>
        <w:pBdr>
          <w:bottom w:val="single" w:color="C41230" w:sz="8" w:space="8"/>
        </w:pBdr>
        <w:spacing w:after="360"/>
      </w:pPr>
      <w:r>
        <w:rPr>
          <w:rFonts w:ascii="Arial" w:cs="Arial" w:eastAsia="Arial" w:hAnsi="Arial"/>
          <w:i/>
          <w:iCs/>
          <w:color w:val="666666"/>
          <w:sz w:val="20"/>
          <w:szCs w:val="20"/>
        </w:rPr>
        <w:t xml:space="preserve">Prepared by Bill Syrros, National AI Leader</w:t>
      </w:r>
    </w:p>
    <w:p>
      <w:pPr>
        <w:pStyle w:val="Heading1"/>
      </w:pPr>
      <w:r>
        <w:t xml:space="preserve">Executive Summary</w:t>
      </w:r>
    </w:p>
    <w:p>
      <w:pPr>
        <w:spacing w:after="200"/>
      </w:pPr>
      <w:r>
        <w:rPr>
          <w:rFonts w:ascii="Arial" w:cs="Arial" w:eastAsia="Arial" w:hAnsi="Arial"/>
          <w:sz w:val="22"/>
          <w:szCs w:val="22"/>
        </w:rPr>
        <w:t xml:space="preserve">March 2026 marked a decisive inflection point for enterprise AI. NVIDIA’s GTC conference confirmed that agentic AI has moved from proof-of-concept to production infrastructure, with open-source agent orchestration frameworks now available for enterprise deployment. Simultaneously, the Model Context Protocol (MCP) crossed 97 million installs, cementing itself as the universal connectivity standard for AI agents — the TCP/IP of the agentic era. For BDO, these developments validate our thesis that AI is not a feature to be bolted on, but infrastructure to be architected. Project Helix’s orchestration-first approach is precisely where the market is heading.</w:t>
      </w:r>
    </w:p>
    <w:p>
      <w:pPr>
        <w:spacing w:after="360"/>
      </w:pPr>
      <w:r>
        <w:rPr>
          <w:rFonts w:ascii="Arial" w:cs="Arial" w:eastAsia="Arial" w:hAnsi="Arial"/>
          <w:sz w:val="22"/>
          <w:szCs w:val="22"/>
        </w:rPr>
        <w:t xml:space="preserve">The competitive landscape is intensifying. The Big Four have collectively surpassed $10 billion in AI investment, with Deloitte restructuring its entire 182,000-person US workforce around AI-augmented roles. Meanwhile, futurist Amy Webb declared at SXSW that traditional trend analysis is dead, replaced by “convergences” — intersecting forces that create irreversible shifts. Her “Agentic Economy” and “New Labor Equation” convergences describe exactly the transformation BDO is helping clients navigate. Canada’s continued absence of binding AI legislation means the advisory window for governance frameworks remains wide open. BDO’s advantage is clear: we are agile enough to move faster than firms ten times our size, and close enough to the mid-market to serve the clients the hyperscalers will never reach.</w:t>
      </w:r>
    </w:p>
    <w:p>
      <w:pPr>
        <w:pStyle w:val="Heading1"/>
      </w:pPr>
      <w:r>
        <w:t xml:space="preserve">Featured: NVIDIA GTC 2026 — The Agent Production Era</w:t>
      </w:r>
    </w:p>
    <w:p>
      <w:pPr>
        <w:spacing w:after="200"/>
      </w:pPr>
      <w:r>
        <w:rPr>
          <w:rFonts w:ascii="Arial" w:cs="Arial" w:eastAsia="Arial" w:hAnsi="Arial"/>
          <w:sz w:val="22"/>
          <w:szCs w:val="22"/>
        </w:rPr>
        <w:t xml:space="preserve">NVIDIA’s GTC 2026 (March 16–20, San Jose) was the most consequential enterprise AI event of the quarter. CEO Jensen Huang announced the Vera Rubin GPU architecture, delivering 3–4x compute density improvement over Blackwell, alongside a new Language Processing Unit (LPU) built on technology from NVIDIA’s December acquisition of Groq. Huang projected $1 trillion in combined orders for Blackwell and Vera Rubin through 2027, signaling that enterprise AI infrastructure spending is accelerating, not plateauing.</w:t>
      </w:r>
    </w:p>
    <w:p>
      <w:pPr>
        <w:spacing w:after="200"/>
      </w:pPr>
      <w:r>
        <w:rPr>
          <w:rFonts w:ascii="Arial" w:cs="Arial" w:eastAsia="Arial" w:hAnsi="Arial"/>
          <w:sz w:val="22"/>
          <w:szCs w:val="22"/>
        </w:rPr>
        <w:t xml:space="preserve">For BDO, the most strategically significant announcement was the NVIDIA Agent Toolkit — an open-source platform for building autonomous enterprise AI agents. The toolkit includes NeMoCLAW and OpenCLAW frameworks for agent orchestration, OpenShell for secure runtime environments, and AI-Q blueprints that combine open and frontier models to reduce costs while maintaining accuracy. This is exactly the orchestration layer approach that Project Helix has been designed around. NVIDIA also announced that Uber will launch autonomous vehicle fleets powered by NVIDIA Drive AV across 28 cities by 2028, with Nissan, BYD, Hyundai, and others building Level 4 vehicles on the platform.</w:t>
      </w:r>
    </w:p>
    <w:p>
      <w:pPr>
        <w:spacing w:after="120"/>
      </w:pPr>
      <w:r>
        <w:rPr>
          <w:rFonts w:ascii="Arial" w:cs="Arial" w:eastAsia="Arial" w:hAnsi="Arial"/>
          <w:i/>
          <w:iCs/>
          <w:color w:val="666666"/>
          <w:sz w:val="20"/>
          <w:szCs w:val="20"/>
        </w:rPr>
        <w:t xml:space="preserve">Source: </w:t>
      </w:r>
      <w:hyperlink w:history="1" r:id="rIdgpodmoihjtzh3oitcmroa">
        <w:r>
          <w:rPr>
            <w:rStyle w:val="Hyperlink"/>
            <w:rFonts w:ascii="Arial" w:cs="Arial" w:eastAsia="Arial" w:hAnsi="Arial"/>
            <w:sz w:val="20"/>
            <w:szCs w:val="20"/>
          </w:rPr>
          <w:t xml:space="preserve">NVIDIA GTC 2026 Official Coverage</w:t>
        </w:r>
      </w:hyperlink>
    </w:p>
    <w:p>
      <w:r>
        <w:br w:type="page"/>
      </w:r>
    </w:p>
    <w:p>
      <w:pPr>
        <w:pStyle w:val="Heading1"/>
      </w:pPr>
      <w:r>
        <w:t xml:space="preserve">AI Signals — March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6360"/>
        <w:gridCol w:w="1800"/>
      </w:tblGrid>
      <w:tr>
        <w:trPr>
          <w:tblHeader/>
        </w:trPr>
        <w:tc>
          <w:tcPr>
            <w:tcW w:type="dxa" w:w="1200"/>
            <w:tcBorders>
              <w:top w:val="single" w:color="E0E0E0" w:sz="1"/>
              <w:left w:val="single" w:color="E0E0E0" w:sz="1"/>
              <w:bottom w:val="single" w:color="E0E0E0" w:sz="1"/>
              <w:right w:val="single" w:color="E0E0E0" w:sz="1"/>
            </w:tcBorders>
            <w:shd w:fill="1A1A2E"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Category</w:t>
            </w:r>
          </w:p>
        </w:tc>
        <w:tc>
          <w:tcPr>
            <w:tcW w:type="dxa" w:w="6360"/>
            <w:tcBorders>
              <w:top w:val="single" w:color="E0E0E0" w:sz="1"/>
              <w:left w:val="single" w:color="E0E0E0" w:sz="1"/>
              <w:bottom w:val="single" w:color="E0E0E0" w:sz="1"/>
              <w:right w:val="single" w:color="E0E0E0" w:sz="1"/>
            </w:tcBorders>
            <w:shd w:fill="1A1A2E" w:val="clear"/>
            <w:tcMar>
              <w:top w:type="dxa" w:w="80"/>
              <w:left w:type="dxa" w:w="120"/>
              <w:bottom w:type="dxa" w:w="80"/>
              <w:right w:type="dxa" w:w="120"/>
            </w:tcMar>
          </w:tcPr>
          <w:p>
            <w:r>
              <w:rPr>
                <w:rFonts w:ascii="Arial" w:cs="Arial" w:eastAsia="Arial" w:hAnsi="Arial"/>
                <w:b/>
                <w:bCs/>
                <w:color w:val="FFFFFF"/>
                <w:sz w:val="18"/>
                <w:szCs w:val="18"/>
              </w:rPr>
              <w:t xml:space="preserve">Signal &amp; BDO Relevance</w:t>
            </w:r>
          </w:p>
        </w:tc>
        <w:tc>
          <w:tcPr>
            <w:tcW w:type="dxa" w:w="1800"/>
            <w:tcBorders>
              <w:top w:val="single" w:color="E0E0E0" w:sz="1"/>
              <w:left w:val="single" w:color="E0E0E0" w:sz="1"/>
              <w:bottom w:val="single" w:color="E0E0E0" w:sz="1"/>
              <w:right w:val="single" w:color="E0E0E0" w:sz="1"/>
            </w:tcBorders>
            <w:shd w:fill="1A1A2E"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Source</w:t>
            </w:r>
          </w:p>
        </w:tc>
      </w:tr>
      <w:tr>
        <w:tc>
          <w:tcPr>
            <w:tcW w:type="dxa" w:w="1200"/>
            <w:tcBorders>
              <w:top w:val="single" w:color="E0E0E0" w:sz="1"/>
              <w:left w:val="single" w:color="E0E0E0" w:sz="1"/>
              <w:bottom w:val="single" w:color="E0E0E0" w:sz="1"/>
              <w:right w:val="single" w:color="E0E0E0" w:sz="1"/>
            </w:tcBorders>
            <w:shd w:fill="EDE7F6" w:val="clear"/>
            <w:tcMar>
              <w:top w:type="dxa" w:w="80"/>
              <w:left w:type="dxa" w:w="80"/>
              <w:bottom w:type="dxa" w:w="80"/>
              <w:right w:type="dxa" w:w="80"/>
            </w:tcMar>
            <w:vAlign w:val="center"/>
          </w:tcPr>
          <w:p>
            <w:pPr>
              <w:jc w:val="center"/>
            </w:pPr>
            <w:r>
              <w:rPr>
                <w:rFonts w:ascii="Arial" w:cs="Arial" w:eastAsia="Arial" w:hAnsi="Arial"/>
                <w:b/>
                <w:bCs/>
                <w:color w:val="5E35B1"/>
                <w:sz w:val="14"/>
                <w:szCs w:val="14"/>
              </w:rPr>
              <w:t xml:space="preserve">EXPONENTIAL</w:t>
            </w:r>
          </w:p>
        </w:tc>
        <w:tc>
          <w:tcPr>
            <w:tcW w:type="dxa" w:w="6360"/>
            <w:tcBorders>
              <w:top w:val="single" w:color="E0E0E0" w:sz="1"/>
              <w:left w:val="single" w:color="E0E0E0" w:sz="1"/>
              <w:bottom w:val="single" w:color="E0E0E0" w:sz="1"/>
              <w:right w:val="single" w:color="E0E0E0" w:sz="1"/>
            </w:tcBorders>
            <w:shd w:fill="FFFFFF" w:val="clear"/>
            <w:tcMar>
              <w:top w:type="dxa" w:w="80"/>
              <w:left w:type="dxa" w:w="120"/>
              <w:bottom w:type="dxa" w:w="80"/>
              <w:right w:type="dxa" w:w="120"/>
            </w:tcMar>
          </w:tcPr>
          <w:p>
            <w:pPr>
              <w:spacing w:after="60"/>
            </w:pPr>
            <w:r>
              <w:rPr>
                <w:rFonts w:ascii="Arial" w:cs="Arial" w:eastAsia="Arial" w:hAnsi="Arial"/>
                <w:b/>
                <w:bCs/>
                <w:color w:val="1A1A2E"/>
                <w:sz w:val="18"/>
                <w:szCs w:val="18"/>
              </w:rPr>
              <w:t xml:space="preserve">NVIDIA GTC 2026: Vera Rubin GPU + Language Processing Unit unveiled — Jensen sees $1T in orders through 2027</w:t>
            </w:r>
          </w:p>
          <w:p>
            <w:r>
              <w:rPr>
                <w:rFonts w:ascii="Arial" w:cs="Arial" w:eastAsia="Arial" w:hAnsi="Arial"/>
                <w:i/>
                <w:iCs/>
                <w:color w:val="555555"/>
                <w:sz w:val="16"/>
                <w:szCs w:val="16"/>
              </w:rPr>
              <w:t xml:space="preserve">Vera Rubin delivers 3–4x compute density over Blackwell. The new LPU chip signals inference cost collapse is coming. BDO clients planning AI infrastructure investments need updated TCO models.</w:t>
            </w:r>
          </w:p>
        </w:tc>
        <w:tc>
          <w:tcPr>
            <w:tcW w:type="dxa" w:w="1800"/>
            <w:tcBorders>
              <w:top w:val="single" w:color="E0E0E0" w:sz="1"/>
              <w:left w:val="single" w:color="E0E0E0" w:sz="1"/>
              <w:bottom w:val="single" w:color="E0E0E0" w:sz="1"/>
              <w:right w:val="single" w:color="E0E0E0" w:sz="1"/>
            </w:tcBorders>
            <w:shd w:fill="FFFFFF" w:val="clear"/>
            <w:tcMar>
              <w:top w:type="dxa" w:w="80"/>
              <w:left w:type="dxa" w:w="80"/>
              <w:bottom w:type="dxa" w:w="80"/>
              <w:right w:type="dxa" w:w="80"/>
            </w:tcMar>
            <w:vAlign w:val="center"/>
          </w:tcPr>
          <w:p>
            <w:pPr>
              <w:jc w:val="center"/>
            </w:pPr>
            <w:r>
              <w:rPr>
                <w:rFonts w:ascii="Arial" w:cs="Arial" w:eastAsia="Arial" w:hAnsi="Arial"/>
                <w:color w:val="666666"/>
                <w:sz w:val="16"/>
                <w:szCs w:val="16"/>
              </w:rPr>
              <w:t xml:space="preserve">CNBC / NVIDIA</w:t>
            </w:r>
          </w:p>
        </w:tc>
      </w:tr>
      <w:tr>
        <w:tc>
          <w:tcPr>
            <w:tcW w:type="dxa" w:w="1200"/>
            <w:tcBorders>
              <w:top w:val="single" w:color="E0E0E0" w:sz="1"/>
              <w:left w:val="single" w:color="E0E0E0" w:sz="1"/>
              <w:bottom w:val="single" w:color="E0E0E0" w:sz="1"/>
              <w:right w:val="single" w:color="E0E0E0" w:sz="1"/>
            </w:tcBorders>
            <w:shd w:fill="E3F2FD" w:val="clear"/>
            <w:tcMar>
              <w:top w:type="dxa" w:w="80"/>
              <w:left w:type="dxa" w:w="80"/>
              <w:bottom w:type="dxa" w:w="80"/>
              <w:right w:type="dxa" w:w="80"/>
            </w:tcMar>
            <w:vAlign w:val="center"/>
          </w:tcPr>
          <w:p>
            <w:pPr>
              <w:jc w:val="center"/>
            </w:pPr>
            <w:r>
              <w:rPr>
                <w:rFonts w:ascii="Arial" w:cs="Arial" w:eastAsia="Arial" w:hAnsi="Arial"/>
                <w:b/>
                <w:bCs/>
                <w:color w:val="1565C0"/>
                <w:sz w:val="14"/>
                <w:szCs w:val="14"/>
              </w:rPr>
              <w:t xml:space="preserve">AGENTIC</w:t>
            </w:r>
          </w:p>
        </w:tc>
        <w:tc>
          <w:tcPr>
            <w:tcW w:type="dxa" w:w="6360"/>
            <w:tcBorders>
              <w:top w:val="single" w:color="E0E0E0" w:sz="1"/>
              <w:left w:val="single" w:color="E0E0E0" w:sz="1"/>
              <w:bottom w:val="single" w:color="E0E0E0" w:sz="1"/>
              <w:right w:val="single" w:color="E0E0E0" w:sz="1"/>
            </w:tcBorders>
            <w:shd w:fill="F5F5F5" w:val="clear"/>
            <w:tcMar>
              <w:top w:type="dxa" w:w="80"/>
              <w:left w:type="dxa" w:w="120"/>
              <w:bottom w:type="dxa" w:w="80"/>
              <w:right w:type="dxa" w:w="120"/>
            </w:tcMar>
          </w:tcPr>
          <w:p>
            <w:pPr>
              <w:spacing w:after="60"/>
            </w:pPr>
            <w:r>
              <w:rPr>
                <w:rFonts w:ascii="Arial" w:cs="Arial" w:eastAsia="Arial" w:hAnsi="Arial"/>
                <w:b/>
                <w:bCs/>
                <w:color w:val="1A1A2E"/>
                <w:sz w:val="18"/>
                <w:szCs w:val="18"/>
              </w:rPr>
              <w:t xml:space="preserve">NVIDIA Agent Toolkit goes open source — NeMoCLAW + OpenCLAW frameworks for enterprise agent orchestration hit production</w:t>
            </w:r>
          </w:p>
          <w:p>
            <w:r>
              <w:rPr>
                <w:rFonts w:ascii="Arial" w:cs="Arial" w:eastAsia="Arial" w:hAnsi="Arial"/>
                <w:i/>
                <w:iCs/>
                <w:color w:val="555555"/>
                <w:sz w:val="16"/>
                <w:szCs w:val="16"/>
              </w:rPr>
              <w:t xml:space="preserve">Enterprise agentic AI moved from demo to production at GTC. Open-source agent stack lowers the barrier for mid-market. BDO's orchestration advisory (Project Helix) aligns directly.</w:t>
            </w:r>
          </w:p>
        </w:tc>
        <w:tc>
          <w:tcPr>
            <w:tcW w:type="dxa" w:w="1800"/>
            <w:tcBorders>
              <w:top w:val="single" w:color="E0E0E0" w:sz="1"/>
              <w:left w:val="single" w:color="E0E0E0" w:sz="1"/>
              <w:bottom w:val="single" w:color="E0E0E0" w:sz="1"/>
              <w:right w:val="single" w:color="E0E0E0" w:sz="1"/>
            </w:tcBorders>
            <w:shd w:fill="F5F5F5" w:val="clear"/>
            <w:tcMar>
              <w:top w:type="dxa" w:w="80"/>
              <w:left w:type="dxa" w:w="80"/>
              <w:bottom w:type="dxa" w:w="80"/>
              <w:right w:type="dxa" w:w="80"/>
            </w:tcMar>
            <w:vAlign w:val="center"/>
          </w:tcPr>
          <w:p>
            <w:pPr>
              <w:jc w:val="center"/>
            </w:pPr>
            <w:r>
              <w:rPr>
                <w:rFonts w:ascii="Arial" w:cs="Arial" w:eastAsia="Arial" w:hAnsi="Arial"/>
                <w:color w:val="666666"/>
                <w:sz w:val="16"/>
                <w:szCs w:val="16"/>
              </w:rPr>
              <w:t xml:space="preserve">NVIDIA Newsroom</w:t>
            </w:r>
          </w:p>
        </w:tc>
      </w:tr>
      <w:tr>
        <w:tc>
          <w:tcPr>
            <w:tcW w:type="dxa" w:w="1200"/>
            <w:tcBorders>
              <w:top w:val="single" w:color="E0E0E0" w:sz="1"/>
              <w:left w:val="single" w:color="E0E0E0" w:sz="1"/>
              <w:bottom w:val="single" w:color="E0E0E0" w:sz="1"/>
              <w:right w:val="single" w:color="E0E0E0" w:sz="1"/>
            </w:tcBorders>
            <w:shd w:fill="EDE7F6" w:val="clear"/>
            <w:tcMar>
              <w:top w:type="dxa" w:w="80"/>
              <w:left w:type="dxa" w:w="80"/>
              <w:bottom w:type="dxa" w:w="80"/>
              <w:right w:type="dxa" w:w="80"/>
            </w:tcMar>
            <w:vAlign w:val="center"/>
          </w:tcPr>
          <w:p>
            <w:pPr>
              <w:jc w:val="center"/>
            </w:pPr>
            <w:r>
              <w:rPr>
                <w:rFonts w:ascii="Arial" w:cs="Arial" w:eastAsia="Arial" w:hAnsi="Arial"/>
                <w:b/>
                <w:bCs/>
                <w:color w:val="5E35B1"/>
                <w:sz w:val="14"/>
                <w:szCs w:val="14"/>
              </w:rPr>
              <w:t xml:space="preserve">EXPONENTIAL</w:t>
            </w:r>
          </w:p>
        </w:tc>
        <w:tc>
          <w:tcPr>
            <w:tcW w:type="dxa" w:w="6360"/>
            <w:tcBorders>
              <w:top w:val="single" w:color="E0E0E0" w:sz="1"/>
              <w:left w:val="single" w:color="E0E0E0" w:sz="1"/>
              <w:bottom w:val="single" w:color="E0E0E0" w:sz="1"/>
              <w:right w:val="single" w:color="E0E0E0" w:sz="1"/>
            </w:tcBorders>
            <w:shd w:fill="FFFFFF" w:val="clear"/>
            <w:tcMar>
              <w:top w:type="dxa" w:w="80"/>
              <w:left w:type="dxa" w:w="120"/>
              <w:bottom w:type="dxa" w:w="80"/>
              <w:right w:type="dxa" w:w="120"/>
            </w:tcMar>
          </w:tcPr>
          <w:p>
            <w:pPr>
              <w:spacing w:after="60"/>
            </w:pPr>
            <w:r>
              <w:rPr>
                <w:rFonts w:ascii="Arial" w:cs="Arial" w:eastAsia="Arial" w:hAnsi="Arial"/>
                <w:b/>
                <w:bCs/>
                <w:color w:val="1A1A2E"/>
                <w:sz w:val="18"/>
                <w:szCs w:val="18"/>
              </w:rPr>
              <w:t xml:space="preserve">MCP crosses 97M installs — every major AI provider now supports the protocol as the de facto agentic standard</w:t>
            </w:r>
          </w:p>
          <w:p>
            <w:r>
              <w:rPr>
                <w:rFonts w:ascii="Arial" w:cs="Arial" w:eastAsia="Arial" w:hAnsi="Arial"/>
                <w:i/>
                <w:iCs/>
                <w:color w:val="555555"/>
                <w:sz w:val="16"/>
                <w:szCs w:val="16"/>
              </w:rPr>
              <w:t xml:space="preserve">MCP is the TCP/IP of AI agents. Clients building without MCP compatibility will face costly rebuilds. Architecture advisory must include MCP readiness assessments.</w:t>
            </w:r>
          </w:p>
        </w:tc>
        <w:tc>
          <w:tcPr>
            <w:tcW w:type="dxa" w:w="1800"/>
            <w:tcBorders>
              <w:top w:val="single" w:color="E0E0E0" w:sz="1"/>
              <w:left w:val="single" w:color="E0E0E0" w:sz="1"/>
              <w:bottom w:val="single" w:color="E0E0E0" w:sz="1"/>
              <w:right w:val="single" w:color="E0E0E0" w:sz="1"/>
            </w:tcBorders>
            <w:shd w:fill="FFFFFF" w:val="clear"/>
            <w:tcMar>
              <w:top w:type="dxa" w:w="80"/>
              <w:left w:type="dxa" w:w="80"/>
              <w:bottom w:type="dxa" w:w="80"/>
              <w:right w:type="dxa" w:w="80"/>
            </w:tcMar>
            <w:vAlign w:val="center"/>
          </w:tcPr>
          <w:p>
            <w:pPr>
              <w:jc w:val="center"/>
            </w:pPr>
            <w:r>
              <w:rPr>
                <w:rFonts w:ascii="Arial" w:cs="Arial" w:eastAsia="Arial" w:hAnsi="Arial"/>
                <w:color w:val="666666"/>
                <w:sz w:val="16"/>
                <w:szCs w:val="16"/>
              </w:rPr>
              <w:t xml:space="preserve">Anthropic / Digital Applied</w:t>
            </w:r>
          </w:p>
        </w:tc>
      </w:tr>
      <w:tr>
        <w:tc>
          <w:tcPr>
            <w:tcW w:type="dxa" w:w="1200"/>
            <w:tcBorders>
              <w:top w:val="single" w:color="E0E0E0" w:sz="1"/>
              <w:left w:val="single" w:color="E0E0E0" w:sz="1"/>
              <w:bottom w:val="single" w:color="E0E0E0" w:sz="1"/>
              <w:right w:val="single" w:color="E0E0E0" w:sz="1"/>
            </w:tcBorders>
            <w:shd w:fill="FFF3E0" w:val="clear"/>
            <w:tcMar>
              <w:top w:type="dxa" w:w="80"/>
              <w:left w:type="dxa" w:w="80"/>
              <w:bottom w:type="dxa" w:w="80"/>
              <w:right w:type="dxa" w:w="80"/>
            </w:tcMar>
            <w:vAlign w:val="center"/>
          </w:tcPr>
          <w:p>
            <w:pPr>
              <w:jc w:val="center"/>
            </w:pPr>
            <w:r>
              <w:rPr>
                <w:rFonts w:ascii="Arial" w:cs="Arial" w:eastAsia="Arial" w:hAnsi="Arial"/>
                <w:b/>
                <w:bCs/>
                <w:color w:val="E65100"/>
                <w:sz w:val="14"/>
                <w:szCs w:val="14"/>
              </w:rPr>
              <w:t xml:space="preserve">AI</w:t>
            </w:r>
          </w:p>
        </w:tc>
        <w:tc>
          <w:tcPr>
            <w:tcW w:type="dxa" w:w="6360"/>
            <w:tcBorders>
              <w:top w:val="single" w:color="E0E0E0" w:sz="1"/>
              <w:left w:val="single" w:color="E0E0E0" w:sz="1"/>
              <w:bottom w:val="single" w:color="E0E0E0" w:sz="1"/>
              <w:right w:val="single" w:color="E0E0E0" w:sz="1"/>
            </w:tcBorders>
            <w:shd w:fill="F5F5F5" w:val="clear"/>
            <w:tcMar>
              <w:top w:type="dxa" w:w="80"/>
              <w:left w:type="dxa" w:w="120"/>
              <w:bottom w:type="dxa" w:w="80"/>
              <w:right w:type="dxa" w:w="120"/>
            </w:tcMar>
          </w:tcPr>
          <w:p>
            <w:pPr>
              <w:spacing w:after="60"/>
            </w:pPr>
            <w:r>
              <w:rPr>
                <w:rFonts w:ascii="Arial" w:cs="Arial" w:eastAsia="Arial" w:hAnsi="Arial"/>
                <w:b/>
                <w:bCs/>
                <w:color w:val="1A1A2E"/>
                <w:sz w:val="18"/>
                <w:szCs w:val="18"/>
              </w:rPr>
              <w:t xml:space="preserve">Amy Webb kills the trend report at SXSW 2026 — introduces 'Convergence' framework with 10 macro shifts including Agentic Economy</w:t>
            </w:r>
          </w:p>
          <w:p>
            <w:r>
              <w:rPr>
                <w:rFonts w:ascii="Arial" w:cs="Arial" w:eastAsia="Arial" w:hAnsi="Arial"/>
                <w:i/>
                <w:iCs/>
                <w:color w:val="555555"/>
                <w:sz w:val="16"/>
                <w:szCs w:val="16"/>
              </w:rPr>
              <w:t xml:space="preserve">Webb's convergence model validates BDO's thesis that AI is infrastructure. The 'Agentic Economy' and 'New Labor Equation' map to our client advisory on workforce transformation.</w:t>
            </w:r>
          </w:p>
        </w:tc>
        <w:tc>
          <w:tcPr>
            <w:tcW w:type="dxa" w:w="1800"/>
            <w:tcBorders>
              <w:top w:val="single" w:color="E0E0E0" w:sz="1"/>
              <w:left w:val="single" w:color="E0E0E0" w:sz="1"/>
              <w:bottom w:val="single" w:color="E0E0E0" w:sz="1"/>
              <w:right w:val="single" w:color="E0E0E0" w:sz="1"/>
            </w:tcBorders>
            <w:shd w:fill="F5F5F5" w:val="clear"/>
            <w:tcMar>
              <w:top w:type="dxa" w:w="80"/>
              <w:left w:type="dxa" w:w="80"/>
              <w:bottom w:type="dxa" w:w="80"/>
              <w:right w:type="dxa" w:w="80"/>
            </w:tcMar>
            <w:vAlign w:val="center"/>
          </w:tcPr>
          <w:p>
            <w:pPr>
              <w:jc w:val="center"/>
            </w:pPr>
            <w:r>
              <w:rPr>
                <w:rFonts w:ascii="Arial" w:cs="Arial" w:eastAsia="Arial" w:hAnsi="Arial"/>
                <w:color w:val="666666"/>
                <w:sz w:val="16"/>
                <w:szCs w:val="16"/>
              </w:rPr>
              <w:t xml:space="preserve">Fast Company</w:t>
            </w:r>
          </w:p>
        </w:tc>
      </w:tr>
      <w:tr>
        <w:tc>
          <w:tcPr>
            <w:tcW w:type="dxa" w:w="1200"/>
            <w:tcBorders>
              <w:top w:val="single" w:color="E0E0E0" w:sz="1"/>
              <w:left w:val="single" w:color="E0E0E0" w:sz="1"/>
              <w:bottom w:val="single" w:color="E0E0E0" w:sz="1"/>
              <w:right w:val="single" w:color="E0E0E0" w:sz="1"/>
            </w:tcBorders>
            <w:shd w:fill="FCE4EC" w:val="clear"/>
            <w:tcMar>
              <w:top w:type="dxa" w:w="80"/>
              <w:left w:type="dxa" w:w="80"/>
              <w:bottom w:type="dxa" w:w="80"/>
              <w:right w:type="dxa" w:w="80"/>
            </w:tcMar>
            <w:vAlign w:val="center"/>
          </w:tcPr>
          <w:p>
            <w:pPr>
              <w:jc w:val="center"/>
            </w:pPr>
            <w:r>
              <w:rPr>
                <w:rFonts w:ascii="Arial" w:cs="Arial" w:eastAsia="Arial" w:hAnsi="Arial"/>
                <w:b/>
                <w:bCs/>
                <w:color w:val="C62828"/>
                <w:sz w:val="14"/>
                <w:szCs w:val="14"/>
              </w:rPr>
              <w:t xml:space="preserve">CONSULTING</w:t>
            </w:r>
          </w:p>
        </w:tc>
        <w:tc>
          <w:tcPr>
            <w:tcW w:type="dxa" w:w="6360"/>
            <w:tcBorders>
              <w:top w:val="single" w:color="E0E0E0" w:sz="1"/>
              <w:left w:val="single" w:color="E0E0E0" w:sz="1"/>
              <w:bottom w:val="single" w:color="E0E0E0" w:sz="1"/>
              <w:right w:val="single" w:color="E0E0E0" w:sz="1"/>
            </w:tcBorders>
            <w:shd w:fill="FFFFFF" w:val="clear"/>
            <w:tcMar>
              <w:top w:type="dxa" w:w="80"/>
              <w:left w:type="dxa" w:w="120"/>
              <w:bottom w:type="dxa" w:w="80"/>
              <w:right w:type="dxa" w:w="120"/>
            </w:tcMar>
          </w:tcPr>
          <w:p>
            <w:pPr>
              <w:spacing w:after="60"/>
            </w:pPr>
            <w:r>
              <w:rPr>
                <w:rFonts w:ascii="Arial" w:cs="Arial" w:eastAsia="Arial" w:hAnsi="Arial"/>
                <w:b/>
                <w:bCs/>
                <w:color w:val="1A1A2E"/>
                <w:sz w:val="18"/>
                <w:szCs w:val="18"/>
              </w:rPr>
              <w:t xml:space="preserve">Deloitte scraps traditional job titles for 182K US employees — AI-driven 'modernization' effective June 2026</w:t>
            </w:r>
          </w:p>
          <w:p>
            <w:r>
              <w:rPr>
                <w:rFonts w:ascii="Arial" w:cs="Arial" w:eastAsia="Arial" w:hAnsi="Arial"/>
                <w:i/>
                <w:iCs/>
                <w:color w:val="555555"/>
                <w:sz w:val="16"/>
                <w:szCs w:val="16"/>
              </w:rPr>
              <w:t xml:space="preserve">Big Four restructuring talent models around AI-augmented roles. BDO's agility advantage: we can redesign service delivery faster than firms managing 182K title changes.</w:t>
            </w:r>
          </w:p>
        </w:tc>
        <w:tc>
          <w:tcPr>
            <w:tcW w:type="dxa" w:w="1800"/>
            <w:tcBorders>
              <w:top w:val="single" w:color="E0E0E0" w:sz="1"/>
              <w:left w:val="single" w:color="E0E0E0" w:sz="1"/>
              <w:bottom w:val="single" w:color="E0E0E0" w:sz="1"/>
              <w:right w:val="single" w:color="E0E0E0" w:sz="1"/>
            </w:tcBorders>
            <w:shd w:fill="FFFFFF" w:val="clear"/>
            <w:tcMar>
              <w:top w:type="dxa" w:w="80"/>
              <w:left w:type="dxa" w:w="80"/>
              <w:bottom w:type="dxa" w:w="80"/>
              <w:right w:type="dxa" w:w="80"/>
            </w:tcMar>
            <w:vAlign w:val="center"/>
          </w:tcPr>
          <w:p>
            <w:pPr>
              <w:jc w:val="center"/>
            </w:pPr>
            <w:r>
              <w:rPr>
                <w:rFonts w:ascii="Arial" w:cs="Arial" w:eastAsia="Arial" w:hAnsi="Arial"/>
                <w:color w:val="666666"/>
                <w:sz w:val="16"/>
                <w:szCs w:val="16"/>
              </w:rPr>
              <w:t xml:space="preserve">Fortune / HR Brew</w:t>
            </w:r>
          </w:p>
        </w:tc>
      </w:tr>
      <w:tr>
        <w:tc>
          <w:tcPr>
            <w:tcW w:type="dxa" w:w="1200"/>
            <w:tcBorders>
              <w:top w:val="single" w:color="E0E0E0" w:sz="1"/>
              <w:left w:val="single" w:color="E0E0E0" w:sz="1"/>
              <w:bottom w:val="single" w:color="E0E0E0" w:sz="1"/>
              <w:right w:val="single" w:color="E0E0E0" w:sz="1"/>
            </w:tcBorders>
            <w:shd w:fill="FCE4EC" w:val="clear"/>
            <w:tcMar>
              <w:top w:type="dxa" w:w="80"/>
              <w:left w:type="dxa" w:w="80"/>
              <w:bottom w:type="dxa" w:w="80"/>
              <w:right w:type="dxa" w:w="80"/>
            </w:tcMar>
            <w:vAlign w:val="center"/>
          </w:tcPr>
          <w:p>
            <w:pPr>
              <w:jc w:val="center"/>
            </w:pPr>
            <w:r>
              <w:rPr>
                <w:rFonts w:ascii="Arial" w:cs="Arial" w:eastAsia="Arial" w:hAnsi="Arial"/>
                <w:b/>
                <w:bCs/>
                <w:color w:val="C62828"/>
                <w:sz w:val="14"/>
                <w:szCs w:val="14"/>
              </w:rPr>
              <w:t xml:space="preserve">CONSULTING</w:t>
            </w:r>
          </w:p>
        </w:tc>
        <w:tc>
          <w:tcPr>
            <w:tcW w:type="dxa" w:w="6360"/>
            <w:tcBorders>
              <w:top w:val="single" w:color="E0E0E0" w:sz="1"/>
              <w:left w:val="single" w:color="E0E0E0" w:sz="1"/>
              <w:bottom w:val="single" w:color="E0E0E0" w:sz="1"/>
              <w:right w:val="single" w:color="E0E0E0" w:sz="1"/>
            </w:tcBorders>
            <w:shd w:fill="F5F5F5" w:val="clear"/>
            <w:tcMar>
              <w:top w:type="dxa" w:w="80"/>
              <w:left w:type="dxa" w:w="120"/>
              <w:bottom w:type="dxa" w:w="80"/>
              <w:right w:type="dxa" w:w="120"/>
            </w:tcMar>
          </w:tcPr>
          <w:p>
            <w:pPr>
              <w:spacing w:after="60"/>
            </w:pPr>
            <w:r>
              <w:rPr>
                <w:rFonts w:ascii="Arial" w:cs="Arial" w:eastAsia="Arial" w:hAnsi="Arial"/>
                <w:b/>
                <w:bCs/>
                <w:color w:val="1A1A2E"/>
                <w:sz w:val="18"/>
                <w:szCs w:val="18"/>
              </w:rPr>
              <w:t xml:space="preserve">Big Four collectively exceed $10B in AI investment — multi-agent platforms now operational across audit, tax, and advisory</w:t>
            </w:r>
          </w:p>
          <w:p>
            <w:r>
              <w:rPr>
                <w:rFonts w:ascii="Arial" w:cs="Arial" w:eastAsia="Arial" w:hAnsi="Arial"/>
                <w:i/>
                <w:iCs/>
                <w:color w:val="555555"/>
                <w:sz w:val="16"/>
                <w:szCs w:val="16"/>
              </w:rPr>
              <w:t xml:space="preserve">Every Big Four firm runs proprietary AI platforms. BDO must accelerate its own platform strategy or risk being perceived as a generation behind on AI infrastructure.</w:t>
            </w:r>
          </w:p>
        </w:tc>
        <w:tc>
          <w:tcPr>
            <w:tcW w:type="dxa" w:w="1800"/>
            <w:tcBorders>
              <w:top w:val="single" w:color="E0E0E0" w:sz="1"/>
              <w:left w:val="single" w:color="E0E0E0" w:sz="1"/>
              <w:bottom w:val="single" w:color="E0E0E0" w:sz="1"/>
              <w:right w:val="single" w:color="E0E0E0" w:sz="1"/>
            </w:tcBorders>
            <w:shd w:fill="F5F5F5" w:val="clear"/>
            <w:tcMar>
              <w:top w:type="dxa" w:w="80"/>
              <w:left w:type="dxa" w:w="80"/>
              <w:bottom w:type="dxa" w:w="80"/>
              <w:right w:type="dxa" w:w="80"/>
            </w:tcMar>
            <w:vAlign w:val="center"/>
          </w:tcPr>
          <w:p>
            <w:pPr>
              <w:jc w:val="center"/>
            </w:pPr>
            <w:r>
              <w:rPr>
                <w:rFonts w:ascii="Arial" w:cs="Arial" w:eastAsia="Arial" w:hAnsi="Arial"/>
                <w:color w:val="666666"/>
                <w:sz w:val="16"/>
                <w:szCs w:val="16"/>
              </w:rPr>
              <w:t xml:space="preserve">Consultancy.uk</w:t>
            </w:r>
          </w:p>
        </w:tc>
      </w:tr>
      <w:tr>
        <w:tc>
          <w:tcPr>
            <w:tcW w:type="dxa" w:w="1200"/>
            <w:tcBorders>
              <w:top w:val="single" w:color="E0E0E0" w:sz="1"/>
              <w:left w:val="single" w:color="E0E0E0" w:sz="1"/>
              <w:bottom w:val="single" w:color="E0E0E0" w:sz="1"/>
              <w:right w:val="single" w:color="E0E0E0" w:sz="1"/>
            </w:tcBorders>
            <w:shd w:fill="E3F2FD" w:val="clear"/>
            <w:tcMar>
              <w:top w:type="dxa" w:w="80"/>
              <w:left w:type="dxa" w:w="80"/>
              <w:bottom w:type="dxa" w:w="80"/>
              <w:right w:type="dxa" w:w="80"/>
            </w:tcMar>
            <w:vAlign w:val="center"/>
          </w:tcPr>
          <w:p>
            <w:pPr>
              <w:jc w:val="center"/>
            </w:pPr>
            <w:r>
              <w:rPr>
                <w:rFonts w:ascii="Arial" w:cs="Arial" w:eastAsia="Arial" w:hAnsi="Arial"/>
                <w:b/>
                <w:bCs/>
                <w:color w:val="1565C0"/>
                <w:sz w:val="14"/>
                <w:szCs w:val="14"/>
              </w:rPr>
              <w:t xml:space="preserve">AGENTIC</w:t>
            </w:r>
          </w:p>
        </w:tc>
        <w:tc>
          <w:tcPr>
            <w:tcW w:type="dxa" w:w="6360"/>
            <w:tcBorders>
              <w:top w:val="single" w:color="E0E0E0" w:sz="1"/>
              <w:left w:val="single" w:color="E0E0E0" w:sz="1"/>
              <w:bottom w:val="single" w:color="E0E0E0" w:sz="1"/>
              <w:right w:val="single" w:color="E0E0E0" w:sz="1"/>
            </w:tcBorders>
            <w:shd w:fill="FFFFFF" w:val="clear"/>
            <w:tcMar>
              <w:top w:type="dxa" w:w="80"/>
              <w:left w:type="dxa" w:w="120"/>
              <w:bottom w:type="dxa" w:w="80"/>
              <w:right w:type="dxa" w:w="120"/>
            </w:tcMar>
          </w:tcPr>
          <w:p>
            <w:pPr>
              <w:spacing w:after="60"/>
            </w:pPr>
            <w:r>
              <w:rPr>
                <w:rFonts w:ascii="Arial" w:cs="Arial" w:eastAsia="Arial" w:hAnsi="Arial"/>
                <w:b/>
                <w:bCs/>
                <w:color w:val="1A1A2E"/>
                <w:sz w:val="18"/>
                <w:szCs w:val="18"/>
              </w:rPr>
              <w:t xml:space="preserve">100% of surveyed enterprises plan to expand agentic AI in 2026 — 31% of workflows automated, 33% more planned this year</w:t>
            </w:r>
          </w:p>
          <w:p>
            <w:r>
              <w:rPr>
                <w:rFonts w:ascii="Arial" w:cs="Arial" w:eastAsia="Arial" w:hAnsi="Arial"/>
                <w:i/>
                <w:iCs/>
                <w:color w:val="555555"/>
                <w:sz w:val="16"/>
                <w:szCs w:val="16"/>
              </w:rPr>
              <w:t xml:space="preserve">Agentic AI has crossed the tipping point. BDO's advisory opportunity: clients need governance, orchestration, and change management to scale agent deployments responsibly.</w:t>
            </w:r>
          </w:p>
        </w:tc>
        <w:tc>
          <w:tcPr>
            <w:tcW w:type="dxa" w:w="1800"/>
            <w:tcBorders>
              <w:top w:val="single" w:color="E0E0E0" w:sz="1"/>
              <w:left w:val="single" w:color="E0E0E0" w:sz="1"/>
              <w:bottom w:val="single" w:color="E0E0E0" w:sz="1"/>
              <w:right w:val="single" w:color="E0E0E0" w:sz="1"/>
            </w:tcBorders>
            <w:shd w:fill="FFFFFF" w:val="clear"/>
            <w:tcMar>
              <w:top w:type="dxa" w:w="80"/>
              <w:left w:type="dxa" w:w="80"/>
              <w:bottom w:type="dxa" w:w="80"/>
              <w:right w:type="dxa" w:w="80"/>
            </w:tcMar>
            <w:vAlign w:val="center"/>
          </w:tcPr>
          <w:p>
            <w:pPr>
              <w:jc w:val="center"/>
            </w:pPr>
            <w:r>
              <w:rPr>
                <w:rFonts w:ascii="Arial" w:cs="Arial" w:eastAsia="Arial" w:hAnsi="Arial"/>
                <w:color w:val="666666"/>
                <w:sz w:val="16"/>
                <w:szCs w:val="16"/>
              </w:rPr>
              <w:t xml:space="preserve">CrewAI / BusinessWire</w:t>
            </w:r>
          </w:p>
        </w:tc>
      </w:tr>
      <w:tr>
        <w:tc>
          <w:tcPr>
            <w:tcW w:type="dxa" w:w="1200"/>
            <w:tcBorders>
              <w:top w:val="single" w:color="E0E0E0" w:sz="1"/>
              <w:left w:val="single" w:color="E0E0E0" w:sz="1"/>
              <w:bottom w:val="single" w:color="E0E0E0" w:sz="1"/>
              <w:right w:val="single" w:color="E0E0E0" w:sz="1"/>
            </w:tcBorders>
            <w:shd w:fill="E8F5E9" w:val="clear"/>
            <w:tcMar>
              <w:top w:type="dxa" w:w="80"/>
              <w:left w:type="dxa" w:w="80"/>
              <w:bottom w:type="dxa" w:w="80"/>
              <w:right w:type="dxa" w:w="80"/>
            </w:tcMar>
            <w:vAlign w:val="center"/>
          </w:tcPr>
          <w:p>
            <w:pPr>
              <w:jc w:val="center"/>
            </w:pPr>
            <w:r>
              <w:rPr>
                <w:rFonts w:ascii="Arial" w:cs="Arial" w:eastAsia="Arial" w:hAnsi="Arial"/>
                <w:b/>
                <w:bCs/>
                <w:color w:val="2E7D32"/>
                <w:sz w:val="14"/>
                <w:szCs w:val="14"/>
              </w:rPr>
              <w:t xml:space="preserve">REGULATION</w:t>
            </w:r>
          </w:p>
        </w:tc>
        <w:tc>
          <w:tcPr>
            <w:tcW w:type="dxa" w:w="6360"/>
            <w:tcBorders>
              <w:top w:val="single" w:color="E0E0E0" w:sz="1"/>
              <w:left w:val="single" w:color="E0E0E0" w:sz="1"/>
              <w:bottom w:val="single" w:color="E0E0E0" w:sz="1"/>
              <w:right w:val="single" w:color="E0E0E0" w:sz="1"/>
            </w:tcBorders>
            <w:shd w:fill="F5F5F5" w:val="clear"/>
            <w:tcMar>
              <w:top w:type="dxa" w:w="80"/>
              <w:left w:type="dxa" w:w="120"/>
              <w:bottom w:type="dxa" w:w="80"/>
              <w:right w:type="dxa" w:w="120"/>
            </w:tcMar>
          </w:tcPr>
          <w:p>
            <w:pPr>
              <w:spacing w:after="60"/>
            </w:pPr>
            <w:r>
              <w:rPr>
                <w:rFonts w:ascii="Arial" w:cs="Arial" w:eastAsia="Arial" w:hAnsi="Arial"/>
                <w:b/>
                <w:bCs/>
                <w:color w:val="1A1A2E"/>
                <w:sz w:val="18"/>
                <w:szCs w:val="18"/>
              </w:rPr>
              <w:t xml:space="preserve">Canada's Ministry of AI launches 'national sprint' results — still no binding AI legislation, voluntary frameworks only</w:t>
            </w:r>
          </w:p>
          <w:p>
            <w:r>
              <w:rPr>
                <w:rFonts w:ascii="Arial" w:cs="Arial" w:eastAsia="Arial" w:hAnsi="Arial"/>
                <w:i/>
                <w:iCs/>
                <w:color w:val="555555"/>
                <w:sz w:val="16"/>
                <w:szCs w:val="16"/>
              </w:rPr>
              <w:t xml:space="preserve">Pre-regulation advisory window remains open. BDO can help clients build audit-ready AI governance before binding rules arrive — a recurring revenue stream before the deadline rush.</w:t>
            </w:r>
          </w:p>
        </w:tc>
        <w:tc>
          <w:tcPr>
            <w:tcW w:type="dxa" w:w="1800"/>
            <w:tcBorders>
              <w:top w:val="single" w:color="E0E0E0" w:sz="1"/>
              <w:left w:val="single" w:color="E0E0E0" w:sz="1"/>
              <w:bottom w:val="single" w:color="E0E0E0" w:sz="1"/>
              <w:right w:val="single" w:color="E0E0E0" w:sz="1"/>
            </w:tcBorders>
            <w:shd w:fill="F5F5F5" w:val="clear"/>
            <w:tcMar>
              <w:top w:type="dxa" w:w="80"/>
              <w:left w:type="dxa" w:w="80"/>
              <w:bottom w:type="dxa" w:w="80"/>
              <w:right w:type="dxa" w:w="80"/>
            </w:tcMar>
            <w:vAlign w:val="center"/>
          </w:tcPr>
          <w:p>
            <w:pPr>
              <w:jc w:val="center"/>
            </w:pPr>
            <w:r>
              <w:rPr>
                <w:rFonts w:ascii="Arial" w:cs="Arial" w:eastAsia="Arial" w:hAnsi="Arial"/>
                <w:color w:val="666666"/>
                <w:sz w:val="16"/>
                <w:szCs w:val="16"/>
              </w:rPr>
              <w:t xml:space="preserve">ISED Canada / Osler</w:t>
            </w:r>
          </w:p>
        </w:tc>
      </w:tr>
    </w:tbl>
    <w:p>
      <w:r>
        <w:br w:type="page"/>
      </w:r>
    </w:p>
    <w:p>
      <w:pPr>
        <w:pStyle w:val="Heading1"/>
      </w:pPr>
      <w:r>
        <w:t xml:space="preserve">Key Themes for BDO Leadership</w:t>
      </w:r>
    </w:p>
    <w:p>
      <w:pPr>
        <w:spacing w:after="80"/>
      </w:pPr>
      <w:r>
        <w:rPr>
          <w:rFonts w:ascii="Arial" w:cs="Arial" w:eastAsia="Arial" w:hAnsi="Arial"/>
          <w:b/>
          <w:bCs/>
          <w:color w:val="C41230"/>
          <w:sz w:val="22"/>
          <w:szCs w:val="22"/>
        </w:rPr>
        <w:t xml:space="preserve">1. The Orchestration Era Has Arrived</w:t>
      </w:r>
    </w:p>
    <w:p>
      <w:pPr>
        <w:spacing w:after="240"/>
      </w:pPr>
      <w:r>
        <w:rPr>
          <w:rFonts w:ascii="Arial" w:cs="Arial" w:eastAsia="Arial" w:hAnsi="Arial"/>
          <w:sz w:val="22"/>
          <w:szCs w:val="22"/>
        </w:rPr>
        <w:t xml:space="preserve">NVIDIA’s open-source agent toolkit, MCP’s 97M install base, and 100% enterprise adoption intent confirm that agentic AI is no longer experimental. The firms that will win are those that can orchestrate multiple AI agents across enterprise workflows — not those that deploy individual point solutions. Project Helix positions BDO at the center of this shift. We should be selling orchestration strategy, not AI tool selection.</w:t>
      </w:r>
    </w:p>
    <w:p>
      <w:pPr>
        <w:spacing w:after="80"/>
      </w:pPr>
      <w:r>
        <w:rPr>
          <w:rFonts w:ascii="Arial" w:cs="Arial" w:eastAsia="Arial" w:hAnsi="Arial"/>
          <w:b/>
          <w:bCs/>
          <w:color w:val="C41230"/>
          <w:sz w:val="22"/>
          <w:szCs w:val="22"/>
        </w:rPr>
        <w:t xml:space="preserve">2. The Big Four Are Restructuring Around AI — BDO Must Move Faster</w:t>
      </w:r>
    </w:p>
    <w:p>
      <w:pPr>
        <w:spacing w:after="240"/>
      </w:pPr>
      <w:r>
        <w:rPr>
          <w:rFonts w:ascii="Arial" w:cs="Arial" w:eastAsia="Arial" w:hAnsi="Arial"/>
          <w:sz w:val="22"/>
          <w:szCs w:val="22"/>
        </w:rPr>
        <w:t xml:space="preserve">Deloitte is overhauling 182,000 job titles. EY, KPMG, and PwC are all running proprietary AI platforms in production. The Big Four have collectively invested over $10 billion. BDO’s advantage is not capital — it’s speed. A $1B firm can redesign its delivery model in months; a $60B firm takes years. We must leverage this agility to build AI-native service lines that the Big Four are still planning for.</w:t>
      </w:r>
    </w:p>
    <w:p>
      <w:pPr>
        <w:spacing w:after="80"/>
      </w:pPr>
      <w:r>
        <w:rPr>
          <w:rFonts w:ascii="Arial" w:cs="Arial" w:eastAsia="Arial" w:hAnsi="Arial"/>
          <w:b/>
          <w:bCs/>
          <w:color w:val="C41230"/>
          <w:sz w:val="22"/>
          <w:szCs w:val="22"/>
        </w:rPr>
        <w:t xml:space="preserve">3. Convergence Thinking Replaces Linear Forecasting</w:t>
      </w:r>
    </w:p>
    <w:p>
      <w:pPr>
        <w:spacing w:after="240"/>
      </w:pPr>
      <w:r>
        <w:rPr>
          <w:rFonts w:ascii="Arial" w:cs="Arial" w:eastAsia="Arial" w:hAnsi="Arial"/>
          <w:sz w:val="22"/>
          <w:szCs w:val="22"/>
        </w:rPr>
        <w:t xml:space="preserve">Amy Webb’s retirement of the traditional trend report signals a fundamental shift in how leaders must think about technology. The intersection of agentic AI, regulatory vacuums, and workforce transformation creates compounding effects that linear analysis cannot capture. BDO’s FutureCraft program should adopt convergence-based scenario planning for client engagements, positioning us as the advisory firm that understands second-order effects.</w:t>
      </w:r>
    </w:p>
    <w:p>
      <w:pPr>
        <w:spacing w:after="80"/>
      </w:pPr>
      <w:r>
        <w:rPr>
          <w:rFonts w:ascii="Arial" w:cs="Arial" w:eastAsia="Arial" w:hAnsi="Arial"/>
          <w:b/>
          <w:bCs/>
          <w:color w:val="C41230"/>
          <w:sz w:val="22"/>
          <w:szCs w:val="22"/>
        </w:rPr>
        <w:t xml:space="preserve">4. Canada’s Regulatory Vacuum Is a Time-Limited Opportunity</w:t>
      </w:r>
    </w:p>
    <w:p>
      <w:pPr>
        <w:spacing w:after="360"/>
      </w:pPr>
      <w:r>
        <w:rPr>
          <w:rFonts w:ascii="Arial" w:cs="Arial" w:eastAsia="Arial" w:hAnsi="Arial"/>
          <w:sz w:val="22"/>
          <w:szCs w:val="22"/>
        </w:rPr>
        <w:t xml:space="preserve">With AIDA dead and no binding federal AI legislation on the horizon, Canadian enterprises are operating in a voluntary governance environment. This is a window, not a permanent state. BDO should be building “governance-ready” AI frameworks for clients now, establishing recurring advisory relationships before regulation forces compliance spending into commoditized services.</w:t>
      </w:r>
    </w:p>
    <w:p>
      <w:pPr>
        <w:pStyle w:val="Heading1"/>
      </w:pPr>
      <w:r>
        <w:t xml:space="preserve">Recommended Actions</w:t>
      </w:r>
    </w:p>
    <w:p>
      <w:pPr>
        <w:pStyle w:val="ListParagraph"/>
        <w:numPr>
          <w:ilvl w:val="0"/>
          <w:numId w:val="2"/>
        </w:numPr>
        <w:spacing w:after="180"/>
      </w:pPr>
      <w:r>
        <w:rPr>
          <w:rFonts w:ascii="Arial" w:cs="Arial" w:eastAsia="Arial" w:hAnsi="Arial"/>
          <w:b/>
          <w:bCs/>
          <w:sz w:val="22"/>
          <w:szCs w:val="22"/>
        </w:rPr>
        <w:t xml:space="preserve">Accelerate Project Helix go-to-market. </w:t>
      </w:r>
      <w:r>
        <w:rPr>
          <w:rFonts w:ascii="Arial" w:cs="Arial" w:eastAsia="Arial" w:hAnsi="Arial"/>
          <w:sz w:val="22"/>
          <w:szCs w:val="22"/>
        </w:rPr>
        <w:t xml:space="preserve">NVIDIA’s open-source agent orchestration toolkit validates our architecture. Present Helix as BDO’s enterprise agent orchestration offering at the next National Partners meeting, with three pilot client proposals ready for Q2.</w:t>
      </w:r>
    </w:p>
    <w:p>
      <w:pPr>
        <w:pStyle w:val="ListParagraph"/>
        <w:numPr>
          <w:ilvl w:val="0"/>
          <w:numId w:val="2"/>
        </w:numPr>
        <w:spacing w:after="180"/>
      </w:pPr>
      <w:r>
        <w:rPr>
          <w:rFonts w:ascii="Arial" w:cs="Arial" w:eastAsia="Arial" w:hAnsi="Arial"/>
          <w:b/>
          <w:bCs/>
          <w:sz w:val="22"/>
          <w:szCs w:val="22"/>
        </w:rPr>
        <w:t xml:space="preserve">Launch an “AI Governance Readiness” advisory offering. </w:t>
      </w:r>
      <w:r>
        <w:rPr>
          <w:rFonts w:ascii="Arial" w:cs="Arial" w:eastAsia="Arial" w:hAnsi="Arial"/>
          <w:sz w:val="22"/>
          <w:szCs w:val="22"/>
        </w:rPr>
        <w:t xml:space="preserve">Canada’s regulatory vacuum won’t last. Package a repeatable AI governance assessment targeting financial services, healthcare, and government clients. First-mover advantage in this space creates sticky advisory relationships.</w:t>
      </w:r>
    </w:p>
    <w:p>
      <w:pPr>
        <w:pStyle w:val="ListParagraph"/>
        <w:numPr>
          <w:ilvl w:val="0"/>
          <w:numId w:val="2"/>
        </w:numPr>
        <w:spacing w:after="180"/>
      </w:pPr>
      <w:r>
        <w:rPr>
          <w:rFonts w:ascii="Arial" w:cs="Arial" w:eastAsia="Arial" w:hAnsi="Arial"/>
          <w:b/>
          <w:bCs/>
          <w:sz w:val="22"/>
          <w:szCs w:val="22"/>
        </w:rPr>
        <w:t xml:space="preserve">Develop an MCP readiness assessment for enterprise clients. </w:t>
      </w:r>
      <w:r>
        <w:rPr>
          <w:rFonts w:ascii="Arial" w:cs="Arial" w:eastAsia="Arial" w:hAnsi="Arial"/>
          <w:sz w:val="22"/>
          <w:szCs w:val="22"/>
        </w:rPr>
        <w:t xml:space="preserve">With 97M installs and universal provider support, MCP is the connectivity standard for agentic systems. Clients building AI infrastructure without MCP compatibility will face costly rebuilds. Position BDO as the firm that helps clients get this right from day one.</w:t>
      </w:r>
    </w:p>
    <w:p>
      <w:pPr>
        <w:pStyle w:val="ListParagraph"/>
        <w:numPr>
          <w:ilvl w:val="0"/>
          <w:numId w:val="2"/>
        </w:numPr>
        <w:spacing w:after="180"/>
      </w:pPr>
      <w:r>
        <w:rPr>
          <w:rFonts w:ascii="Arial" w:cs="Arial" w:eastAsia="Arial" w:hAnsi="Arial"/>
          <w:b/>
          <w:bCs/>
          <w:sz w:val="22"/>
          <w:szCs w:val="22"/>
        </w:rPr>
        <w:t xml:space="preserve">Commission a competitive intelligence brief on Big Four AI platforms. </w:t>
      </w:r>
      <w:r>
        <w:rPr>
          <w:rFonts w:ascii="Arial" w:cs="Arial" w:eastAsia="Arial" w:hAnsi="Arial"/>
          <w:sz w:val="22"/>
          <w:szCs w:val="22"/>
        </w:rPr>
        <w:t xml:space="preserve">Deloitte’s Industry Advantage, PwC’s GL.ai, EY’s Helix, and KPMG’s Ignite are all in production. BDO leadership needs a clear-eyed comparison of our AI platform maturity versus theirs, with a 12-month roadmap to close identified gaps.</w:t>
      </w:r>
    </w:p>
    <w:sectPr>
      <w:headerReference w:type="default" r:id="rId7"/>
      <w:footerReference w:type="default" r:id="rId8"/>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0E0" w:sz="4" w:space="4"/>
      </w:pBdr>
      <w:jc w:val="center"/>
    </w:pPr>
    <w:r>
      <w:rPr>
        <w:rFonts w:ascii="Arial" w:cs="Arial" w:eastAsia="Arial" w:hAnsi="Arial"/>
        <w:color w:val="999999"/>
        <w:sz w:val="16"/>
        <w:szCs w:val="16"/>
      </w:rPr>
      <w:t xml:space="preserve">Confidential — For ELT Distribution Only — 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41230" w:sz="6" w:space="4"/>
      </w:pBdr>
      <w:spacing w:after="0"/>
    </w:pPr>
    <w:r>
      <w:rPr>
        <w:rFonts w:ascii="Arial" w:cs="Arial" w:eastAsia="Arial" w:hAnsi="Arial"/>
        <w:color w:val="999999"/>
        <w:sz w:val="16"/>
        <w:szCs w:val="16"/>
      </w:rPr>
      <w:t xml:space="preserve">BDO Canada  |  AI Practice  |  Executive Briefing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C41230"/>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1A1A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gpodmoihjtzh3oitcmroa" Type="http://schemas.openxmlformats.org/officeDocument/2006/relationships/hyperlink" Target="https://blogs.nvidia.com/blog/gtc-2026-news/"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2026-04-01T12:08:06.559Z</dcterms:created>
  <dcterms:modified xsi:type="dcterms:W3CDTF">2026-04-01T12:08:06.559Z</dcterms:modified>
</cp:coreProperties>
</file>

<file path=docProps/custom.xml><?xml version="1.0" encoding="utf-8"?>
<Properties xmlns="http://schemas.openxmlformats.org/officeDocument/2006/custom-properties" xmlns:vt="http://schemas.openxmlformats.org/officeDocument/2006/docPropsVTypes"/>
</file>